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22B" w:rsidRDefault="008A622B">
      <w:pPr>
        <w:spacing w:after="98"/>
        <w:ind w:left="0" w:right="303" w:firstLine="0"/>
        <w:jc w:val="right"/>
      </w:pPr>
    </w:p>
    <w:p w:rsidR="008A622B" w:rsidRDefault="006423CD">
      <w:pPr>
        <w:spacing w:after="98"/>
        <w:ind w:left="0" w:right="303" w:firstLine="0"/>
        <w:jc w:val="right"/>
      </w:pPr>
      <w:r>
        <w:t xml:space="preserve"> </w:t>
      </w:r>
    </w:p>
    <w:p w:rsidR="008A622B" w:rsidRDefault="006423CD">
      <w:pPr>
        <w:spacing w:after="170"/>
        <w:ind w:left="0" w:right="303" w:firstLine="0"/>
        <w:jc w:val="right"/>
      </w:pPr>
      <w:r>
        <w:t xml:space="preserve"> </w:t>
      </w:r>
    </w:p>
    <w:p w:rsidR="008A622B" w:rsidRDefault="006423CD">
      <w:pPr>
        <w:spacing w:after="0" w:line="362" w:lineRule="auto"/>
        <w:ind w:left="3617" w:right="2069" w:firstLine="10"/>
        <w:jc w:val="left"/>
      </w:pPr>
      <w:r>
        <w:rPr>
          <w:sz w:val="28"/>
        </w:rPr>
        <w:t>INFORMACJA DODATKOWA</w:t>
      </w:r>
      <w:r>
        <w:t xml:space="preserve"> </w:t>
      </w:r>
    </w:p>
    <w:p w:rsidR="008A622B" w:rsidRDefault="006423CD">
      <w:pPr>
        <w:spacing w:after="98"/>
        <w:ind w:left="0" w:right="302" w:firstLine="0"/>
        <w:jc w:val="center"/>
      </w:pPr>
      <w:r>
        <w:t xml:space="preserve"> </w:t>
      </w:r>
    </w:p>
    <w:p w:rsidR="008A622B" w:rsidRDefault="006423CD">
      <w:pPr>
        <w:spacing w:after="96"/>
        <w:ind w:left="0" w:right="302" w:firstLine="0"/>
        <w:jc w:val="center"/>
      </w:pPr>
      <w:r>
        <w:t xml:space="preserve"> </w:t>
      </w:r>
    </w:p>
    <w:p w:rsidR="008A622B" w:rsidRDefault="006423CD">
      <w:pPr>
        <w:spacing w:after="206"/>
        <w:ind w:left="0" w:right="302" w:firstLine="0"/>
        <w:jc w:val="center"/>
      </w:pPr>
      <w:r>
        <w:t xml:space="preserve"> </w:t>
      </w:r>
    </w:p>
    <w:p w:rsidR="008A622B" w:rsidRDefault="00A05B72">
      <w:pPr>
        <w:spacing w:after="0" w:line="361" w:lineRule="auto"/>
        <w:ind w:left="3043" w:right="2186" w:hanging="26"/>
        <w:jc w:val="left"/>
        <w:rPr>
          <w:sz w:val="32"/>
        </w:rPr>
      </w:pPr>
      <w:r>
        <w:rPr>
          <w:sz w:val="32"/>
        </w:rPr>
        <w:t>ZESPÓŁ SZKÓŁ OGÓLNOKSZTAŁCĄCYCH I SPORTOWYCH</w:t>
      </w:r>
      <w:r w:rsidR="006423CD">
        <w:rPr>
          <w:sz w:val="32"/>
        </w:rPr>
        <w:t xml:space="preserve"> </w:t>
      </w:r>
    </w:p>
    <w:p w:rsidR="00A05B72" w:rsidRDefault="00A05B72">
      <w:pPr>
        <w:spacing w:after="0" w:line="361" w:lineRule="auto"/>
        <w:ind w:left="3043" w:right="2186" w:hanging="26"/>
        <w:jc w:val="left"/>
      </w:pPr>
      <w:r>
        <w:rPr>
          <w:sz w:val="32"/>
        </w:rPr>
        <w:t>UL. WYSPIAŃSKIEGO 21 65-034 ZIELONA GÓRA</w:t>
      </w:r>
    </w:p>
    <w:p w:rsidR="008A622B" w:rsidRDefault="006423CD">
      <w:pPr>
        <w:spacing w:after="156"/>
        <w:ind w:left="0" w:right="269" w:firstLine="0"/>
        <w:jc w:val="center"/>
      </w:pPr>
      <w:r>
        <w:rPr>
          <w:sz w:val="32"/>
        </w:rPr>
        <w:t xml:space="preserve"> </w:t>
      </w:r>
    </w:p>
    <w:p w:rsidR="008A622B" w:rsidRDefault="006423CD">
      <w:pPr>
        <w:spacing w:after="156"/>
        <w:ind w:left="0" w:right="269" w:firstLine="0"/>
        <w:jc w:val="center"/>
      </w:pPr>
      <w:r>
        <w:rPr>
          <w:sz w:val="32"/>
        </w:rPr>
        <w:t xml:space="preserve"> </w:t>
      </w:r>
    </w:p>
    <w:p w:rsidR="008A622B" w:rsidRDefault="006423CD">
      <w:pPr>
        <w:spacing w:after="6464" w:line="361" w:lineRule="auto"/>
        <w:ind w:left="2307" w:right="2186" w:hanging="214"/>
        <w:jc w:val="left"/>
      </w:pPr>
      <w:r>
        <w:rPr>
          <w:sz w:val="32"/>
        </w:rPr>
        <w:t>Sprawozdanie</w:t>
      </w:r>
      <w:r w:rsidR="00A05B72">
        <w:rPr>
          <w:sz w:val="32"/>
        </w:rPr>
        <w:t xml:space="preserve"> finansowe za okres 01.01</w:t>
      </w:r>
      <w:r>
        <w:rPr>
          <w:sz w:val="32"/>
        </w:rPr>
        <w:t>.</w:t>
      </w:r>
      <w:r w:rsidR="00A05B72">
        <w:rPr>
          <w:sz w:val="32"/>
        </w:rPr>
        <w:t>2018R - 31.12.2018</w:t>
      </w:r>
      <w:r>
        <w:rPr>
          <w:sz w:val="32"/>
        </w:rPr>
        <w:t xml:space="preserve"> R. </w:t>
      </w:r>
    </w:p>
    <w:p w:rsidR="008A622B" w:rsidRDefault="006423CD">
      <w:pPr>
        <w:spacing w:after="0"/>
        <w:ind w:left="0" w:firstLine="0"/>
        <w:jc w:val="left"/>
      </w:pPr>
      <w:r>
        <w:lastRenderedPageBreak/>
        <w:t xml:space="preserve"> </w:t>
      </w:r>
    </w:p>
    <w:p w:rsidR="008A622B" w:rsidRDefault="006423CD">
      <w:pPr>
        <w:spacing w:after="82"/>
        <w:ind w:left="0" w:firstLine="0"/>
        <w:jc w:val="left"/>
      </w:pPr>
      <w:r>
        <w:rPr>
          <w:sz w:val="32"/>
        </w:rPr>
        <w:t xml:space="preserve"> </w:t>
      </w:r>
    </w:p>
    <w:p w:rsidR="008A622B" w:rsidRDefault="006423CD">
      <w:pPr>
        <w:spacing w:after="98"/>
        <w:ind w:left="-5" w:right="350"/>
      </w:pPr>
      <w:r>
        <w:t xml:space="preserve">Oświadczamy, że:  </w:t>
      </w:r>
    </w:p>
    <w:p w:rsidR="008A622B" w:rsidRDefault="006423CD">
      <w:pPr>
        <w:spacing w:after="131"/>
        <w:ind w:left="0" w:firstLine="0"/>
        <w:jc w:val="left"/>
      </w:pPr>
      <w:r>
        <w:t xml:space="preserve"> </w:t>
      </w:r>
    </w:p>
    <w:p w:rsidR="008A622B" w:rsidRDefault="00B536BD">
      <w:pPr>
        <w:numPr>
          <w:ilvl w:val="0"/>
          <w:numId w:val="1"/>
        </w:numPr>
        <w:spacing w:line="399" w:lineRule="auto"/>
        <w:ind w:left="701" w:right="289" w:hanging="348"/>
        <w:jc w:val="left"/>
      </w:pPr>
      <w:r>
        <w:t>Sprawozdanie Zespołu Szkół Ogólnokształcących i Sportowych z siedzibą w Zielonej Górze ul. Wyspiańskiego 21 za rok 2018</w:t>
      </w:r>
      <w:r w:rsidR="006423CD">
        <w:t xml:space="preserve">, na które składają się:  </w:t>
      </w:r>
    </w:p>
    <w:p w:rsidR="008A622B" w:rsidRDefault="006423CD">
      <w:pPr>
        <w:numPr>
          <w:ilvl w:val="1"/>
          <w:numId w:val="1"/>
        </w:numPr>
        <w:spacing w:after="132"/>
        <w:ind w:right="350" w:hanging="122"/>
        <w:jc w:val="left"/>
      </w:pPr>
      <w:r>
        <w:rPr>
          <w:i/>
        </w:rPr>
        <w:t xml:space="preserve">bilans tj. aktywa i pasywa  </w:t>
      </w:r>
    </w:p>
    <w:p w:rsidR="008A622B" w:rsidRDefault="006423CD">
      <w:pPr>
        <w:numPr>
          <w:ilvl w:val="1"/>
          <w:numId w:val="1"/>
        </w:numPr>
        <w:spacing w:line="362" w:lineRule="auto"/>
        <w:ind w:right="350" w:hanging="122"/>
        <w:jc w:val="left"/>
      </w:pPr>
      <w:r>
        <w:rPr>
          <w:i/>
        </w:rPr>
        <w:t xml:space="preserve">rachunek zysków i strat (wariant porównawczy)   </w:t>
      </w:r>
      <w:r>
        <w:rPr>
          <w:i/>
        </w:rPr>
        <w:tab/>
        <w:t xml:space="preserve">- zestawienie zmian w funduszu jednostki  </w:t>
      </w:r>
    </w:p>
    <w:p w:rsidR="008A622B" w:rsidRDefault="006423CD">
      <w:pPr>
        <w:numPr>
          <w:ilvl w:val="1"/>
          <w:numId w:val="1"/>
        </w:numPr>
        <w:spacing w:line="368" w:lineRule="auto"/>
        <w:ind w:right="350" w:hanging="122"/>
        <w:jc w:val="left"/>
      </w:pPr>
      <w:r>
        <w:rPr>
          <w:i/>
        </w:rPr>
        <w:t>informacja dodatkowa</w:t>
      </w:r>
      <w:r>
        <w:t xml:space="preserve">,  sporządzone zostało zgodnie z obowiązującymi przepisami prawa na podstawie ksiąg rachunkowych, które zawierają kompletnie ujęte wszystkie operacje gospodarcze dotyczące okresu sprawozdawczego, udokumentowane dowodami własnymi i obcymi.  </w:t>
      </w:r>
    </w:p>
    <w:p w:rsidR="008A622B" w:rsidRDefault="006423CD">
      <w:pPr>
        <w:numPr>
          <w:ilvl w:val="0"/>
          <w:numId w:val="1"/>
        </w:numPr>
        <w:spacing w:after="0" w:line="380" w:lineRule="auto"/>
        <w:ind w:left="701" w:right="289" w:hanging="348"/>
        <w:jc w:val="left"/>
      </w:pPr>
      <w:r>
        <w:t xml:space="preserve">W sprawozdaniu finansowym ujawnione zostały wszystkie zdarzenia, które nastąpiły po dacie bilansu i mogłyby mieć wpływ na trafność sformułowania opinii o prawidłowości i rzetelności naszego sprawozdania oraz ocenę sytuacji majątkowej i finansowej jednostki.  </w:t>
      </w:r>
    </w:p>
    <w:p w:rsidR="008A622B" w:rsidRDefault="006423CD">
      <w:pPr>
        <w:numPr>
          <w:ilvl w:val="0"/>
          <w:numId w:val="1"/>
        </w:numPr>
        <w:spacing w:line="396" w:lineRule="auto"/>
        <w:ind w:left="701" w:right="289" w:hanging="348"/>
        <w:jc w:val="left"/>
      </w:pPr>
      <w:r>
        <w:t xml:space="preserve">Obowiązek przeprowadzenia inwentaryzacji został wypełniony zgodnie z przepisami ustawy o rachunkowości, a jej wyniki prawidłowo udokumentowane i ujęte w księgach rachunkowych.  </w:t>
      </w:r>
    </w:p>
    <w:p w:rsidR="008A622B" w:rsidRDefault="006423CD">
      <w:pPr>
        <w:numPr>
          <w:ilvl w:val="0"/>
          <w:numId w:val="1"/>
        </w:numPr>
        <w:spacing w:after="0" w:line="380" w:lineRule="auto"/>
        <w:ind w:left="701" w:right="289" w:hanging="348"/>
        <w:jc w:val="left"/>
      </w:pPr>
      <w:r>
        <w:t xml:space="preserve">Posiadamy pełną świadomość ponoszonej przez nas odpowiedzialność za prawidłowość i rzetelność przedkładanego sprawozdania oraz stanowiących podstawę jego sporządzenia ksiąg rachunkowych i dowodów księgowych.  </w:t>
      </w:r>
    </w:p>
    <w:p w:rsidR="008A622B" w:rsidRDefault="006423CD">
      <w:pPr>
        <w:spacing w:after="98"/>
        <w:ind w:left="0" w:firstLine="0"/>
        <w:jc w:val="left"/>
      </w:pPr>
      <w:r>
        <w:t xml:space="preserve"> </w:t>
      </w:r>
    </w:p>
    <w:p w:rsidR="008A622B" w:rsidRDefault="006423CD">
      <w:pPr>
        <w:spacing w:after="99"/>
        <w:ind w:left="0" w:firstLine="0"/>
        <w:jc w:val="left"/>
      </w:pPr>
      <w:r>
        <w:t xml:space="preserve"> </w:t>
      </w:r>
    </w:p>
    <w:p w:rsidR="008A622B" w:rsidRDefault="006423CD">
      <w:pPr>
        <w:spacing w:after="98"/>
        <w:ind w:left="0" w:firstLine="0"/>
        <w:jc w:val="left"/>
      </w:pPr>
      <w:r>
        <w:t xml:space="preserve"> </w:t>
      </w:r>
    </w:p>
    <w:p w:rsidR="008A622B" w:rsidRDefault="00B536BD">
      <w:pPr>
        <w:spacing w:after="96"/>
        <w:ind w:left="-5" w:right="350"/>
      </w:pPr>
      <w:r>
        <w:t>Dnia 22-02- 2018</w:t>
      </w:r>
      <w:r w:rsidR="006423CD">
        <w:t xml:space="preserve">r.  </w:t>
      </w:r>
    </w:p>
    <w:p w:rsidR="008A622B" w:rsidRDefault="006423CD">
      <w:pPr>
        <w:spacing w:after="98"/>
        <w:ind w:left="0" w:firstLine="0"/>
        <w:jc w:val="left"/>
      </w:pPr>
      <w:r>
        <w:t xml:space="preserve"> </w:t>
      </w:r>
    </w:p>
    <w:p w:rsidR="008A622B" w:rsidRDefault="006423CD">
      <w:pPr>
        <w:spacing w:after="132"/>
        <w:ind w:left="0" w:firstLine="0"/>
        <w:jc w:val="left"/>
      </w:pPr>
      <w:r>
        <w:t xml:space="preserve"> </w:t>
      </w:r>
    </w:p>
    <w:p w:rsidR="00B536BD" w:rsidRDefault="006423CD" w:rsidP="00B536BD">
      <w:pPr>
        <w:tabs>
          <w:tab w:val="center" w:pos="3541"/>
          <w:tab w:val="center" w:pos="4249"/>
          <w:tab w:val="center" w:pos="4957"/>
          <w:tab w:val="center" w:pos="6964"/>
        </w:tabs>
        <w:spacing w:after="86"/>
        <w:ind w:left="-15" w:firstLine="0"/>
        <w:jc w:val="left"/>
      </w:pPr>
      <w:r>
        <w:t xml:space="preserve">…………………………………….. </w:t>
      </w:r>
      <w:r>
        <w:tab/>
        <w:t xml:space="preserve"> </w:t>
      </w:r>
      <w:r>
        <w:tab/>
        <w:t xml:space="preserve"> </w:t>
      </w:r>
      <w:r>
        <w:tab/>
        <w:t xml:space="preserve"> </w:t>
      </w:r>
      <w:r>
        <w:tab/>
        <w:t xml:space="preserve">………………………………… </w:t>
      </w:r>
    </w:p>
    <w:p w:rsidR="008A622B" w:rsidRDefault="006423CD" w:rsidP="00B536BD">
      <w:pPr>
        <w:tabs>
          <w:tab w:val="center" w:pos="3541"/>
          <w:tab w:val="center" w:pos="4249"/>
          <w:tab w:val="center" w:pos="4957"/>
          <w:tab w:val="center" w:pos="6964"/>
        </w:tabs>
        <w:spacing w:after="86"/>
        <w:ind w:left="-15" w:firstLine="0"/>
        <w:jc w:val="left"/>
      </w:pPr>
      <w:r>
        <w:rPr>
          <w:i/>
          <w:sz w:val="16"/>
        </w:rPr>
        <w:t xml:space="preserve">  </w:t>
      </w:r>
      <w:r>
        <w:t xml:space="preserve">Osoba odpowiedzialna za     </w:t>
      </w:r>
      <w:r w:rsidR="00B536BD">
        <w:t xml:space="preserve">                                                                  </w:t>
      </w:r>
      <w:r>
        <w:t xml:space="preserve"> Kierownik Jednostki organizacyjnej prowadzenie ksiąg  rachunkowych  </w:t>
      </w:r>
    </w:p>
    <w:p w:rsidR="00B536BD" w:rsidRDefault="00B536BD">
      <w:pPr>
        <w:spacing w:line="362" w:lineRule="auto"/>
        <w:ind w:left="-15" w:right="669" w:firstLine="708"/>
      </w:pPr>
    </w:p>
    <w:p w:rsidR="00B536BD" w:rsidRDefault="00B536BD">
      <w:pPr>
        <w:spacing w:line="362" w:lineRule="auto"/>
        <w:ind w:left="-15" w:right="669" w:firstLine="708"/>
      </w:pPr>
    </w:p>
    <w:p w:rsidR="00B536BD" w:rsidRDefault="00B536BD">
      <w:pPr>
        <w:spacing w:line="362" w:lineRule="auto"/>
        <w:ind w:left="-15" w:right="669" w:firstLine="708"/>
      </w:pPr>
    </w:p>
    <w:p w:rsidR="00B536BD" w:rsidRDefault="00B536BD">
      <w:pPr>
        <w:spacing w:line="362" w:lineRule="auto"/>
        <w:ind w:left="-15" w:right="669" w:firstLine="708"/>
      </w:pPr>
    </w:p>
    <w:p w:rsidR="00B536BD" w:rsidRDefault="00B536BD">
      <w:pPr>
        <w:spacing w:line="362" w:lineRule="auto"/>
        <w:ind w:left="-15" w:right="669" w:firstLine="708"/>
      </w:pPr>
    </w:p>
    <w:p w:rsidR="00B536BD" w:rsidRDefault="00B536BD">
      <w:pPr>
        <w:spacing w:line="362" w:lineRule="auto"/>
        <w:ind w:left="-15" w:right="669" w:firstLine="708"/>
      </w:pPr>
    </w:p>
    <w:p w:rsidR="00B536BD" w:rsidRDefault="00B536BD">
      <w:pPr>
        <w:spacing w:line="362" w:lineRule="auto"/>
        <w:ind w:left="-15" w:right="669" w:firstLine="708"/>
      </w:pPr>
    </w:p>
    <w:p w:rsidR="00B536BD" w:rsidRDefault="00B536BD">
      <w:pPr>
        <w:spacing w:line="362" w:lineRule="auto"/>
        <w:ind w:left="-15" w:right="669" w:firstLine="708"/>
      </w:pPr>
    </w:p>
    <w:p w:rsidR="00B536BD" w:rsidRDefault="00B536BD">
      <w:pPr>
        <w:spacing w:line="362" w:lineRule="auto"/>
        <w:ind w:left="-15" w:right="669" w:firstLine="708"/>
      </w:pPr>
    </w:p>
    <w:p w:rsidR="00B536BD" w:rsidRDefault="00B536BD">
      <w:pPr>
        <w:spacing w:line="362" w:lineRule="auto"/>
        <w:ind w:left="-15" w:right="669" w:firstLine="708"/>
      </w:pPr>
    </w:p>
    <w:p w:rsidR="00B536BD" w:rsidRDefault="00B536BD">
      <w:pPr>
        <w:spacing w:line="362" w:lineRule="auto"/>
        <w:ind w:left="-15" w:right="669" w:firstLine="708"/>
      </w:pPr>
    </w:p>
    <w:p w:rsidR="00B536BD" w:rsidRDefault="00B536BD">
      <w:pPr>
        <w:spacing w:line="362" w:lineRule="auto"/>
        <w:ind w:left="-15" w:right="669" w:firstLine="708"/>
      </w:pPr>
    </w:p>
    <w:p w:rsidR="008A622B" w:rsidRDefault="006423CD">
      <w:pPr>
        <w:pStyle w:val="Nagwek1"/>
      </w:pPr>
      <w:r>
        <w:t xml:space="preserve">WPROWADZENIE DO SPRAWOZDANIA FINANSOWEGO </w:t>
      </w:r>
    </w:p>
    <w:p w:rsidR="00B536BD" w:rsidRPr="00B536BD" w:rsidRDefault="00B536BD" w:rsidP="00B536BD"/>
    <w:p w:rsidR="008A622B" w:rsidRDefault="006423CD">
      <w:pPr>
        <w:spacing w:after="102"/>
        <w:ind w:left="0" w:right="302" w:firstLine="0"/>
        <w:jc w:val="center"/>
      </w:pPr>
      <w:r>
        <w:t xml:space="preserve"> </w:t>
      </w:r>
    </w:p>
    <w:p w:rsidR="008A622B" w:rsidRDefault="006423CD">
      <w:pPr>
        <w:spacing w:after="133"/>
        <w:ind w:left="-5" w:right="350"/>
      </w:pPr>
      <w:r>
        <w:t>Sprawozdanie f</w:t>
      </w:r>
      <w:r w:rsidR="00A05B72">
        <w:t>inansowe Zesp</w:t>
      </w:r>
      <w:r w:rsidR="00A74A02">
        <w:t>ołu Szkół Ogólnokształcących i S</w:t>
      </w:r>
      <w:r w:rsidR="00A05B72">
        <w:t>portowych</w:t>
      </w:r>
      <w:r>
        <w:t xml:space="preserve">, z siedzibą  </w:t>
      </w:r>
    </w:p>
    <w:p w:rsidR="008A622B" w:rsidRDefault="00A05B72">
      <w:pPr>
        <w:spacing w:line="379" w:lineRule="auto"/>
        <w:ind w:left="-5" w:right="350"/>
      </w:pPr>
      <w:r>
        <w:t xml:space="preserve">w Zielonej Górze ul Wyspiańskiego 21 </w:t>
      </w:r>
      <w:r w:rsidR="006423CD">
        <w:t xml:space="preserve"> zostało sporządzone zgodnie z ustawą z dnia 29 września 1994 roku o rachunkowości (Dz. U. z 2018 poz. 395 tj. z </w:t>
      </w:r>
      <w:proofErr w:type="spellStart"/>
      <w:r w:rsidR="006423CD">
        <w:t>późn</w:t>
      </w:r>
      <w:proofErr w:type="spellEnd"/>
      <w:r w:rsidR="006423CD">
        <w:t xml:space="preserve">. zm.) z uwzględnieniem zasad określonych w rozporządzeniu Ministra Rozwoju i 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2017 r. poz. 1911).  </w:t>
      </w:r>
    </w:p>
    <w:p w:rsidR="008A622B" w:rsidRDefault="006423CD">
      <w:pPr>
        <w:spacing w:line="398" w:lineRule="auto"/>
        <w:ind w:left="-5" w:right="350"/>
      </w:pPr>
      <w:r>
        <w:t xml:space="preserve">Jednostka, ze względu na specyfikę działalności oraz potrzeby organu nadzorującego sporządza sprawozdanie finansowe ze szczegółowością większą niż określona w cyt. wyżej rozporządzeniu </w:t>
      </w:r>
    </w:p>
    <w:p w:rsidR="008A622B" w:rsidRDefault="006423CD">
      <w:pPr>
        <w:spacing w:after="96"/>
        <w:ind w:left="-5" w:right="350"/>
      </w:pPr>
      <w:r>
        <w:t xml:space="preserve">Ministra Finansów.  </w:t>
      </w:r>
    </w:p>
    <w:p w:rsidR="008A622B" w:rsidRDefault="006423CD">
      <w:pPr>
        <w:spacing w:after="133"/>
        <w:ind w:left="0" w:firstLine="0"/>
        <w:jc w:val="left"/>
      </w:pPr>
      <w:r>
        <w:t xml:space="preserve"> </w:t>
      </w:r>
    </w:p>
    <w:p w:rsidR="008A622B" w:rsidRDefault="00A05B72" w:rsidP="00A05B72">
      <w:pPr>
        <w:spacing w:after="132"/>
        <w:ind w:left="-5" w:right="350"/>
      </w:pPr>
      <w:r>
        <w:t xml:space="preserve">Zespół Szkół Ogólnokształcących i sportowych </w:t>
      </w:r>
      <w:r w:rsidR="006423CD">
        <w:t xml:space="preserve"> działa na podstawie</w:t>
      </w:r>
      <w:r>
        <w:t xml:space="preserve"> Uchwały Rady Miasta Zielona Góra nr LI/601/02 z dnia 29stycznia  2002r.</w:t>
      </w:r>
      <w:r w:rsidR="006423CD">
        <w:t xml:space="preserve">  </w:t>
      </w:r>
    </w:p>
    <w:p w:rsidR="008A622B" w:rsidRDefault="006423CD">
      <w:pPr>
        <w:spacing w:after="133"/>
        <w:ind w:left="-5" w:right="350"/>
      </w:pPr>
      <w:r>
        <w:t>Do zadań Jednostki n</w:t>
      </w:r>
      <w:r w:rsidR="007213B5">
        <w:t xml:space="preserve">ależy </w:t>
      </w:r>
      <w:r>
        <w:t xml:space="preserve">:  </w:t>
      </w:r>
    </w:p>
    <w:p w:rsidR="008A622B" w:rsidRDefault="006423CD">
      <w:pPr>
        <w:spacing w:after="114"/>
        <w:ind w:left="-5" w:right="350"/>
      </w:pPr>
      <w:r>
        <w:t xml:space="preserve">Działalność podstawowa:  </w:t>
      </w:r>
    </w:p>
    <w:p w:rsidR="008A622B" w:rsidRDefault="006423CD">
      <w:pPr>
        <w:spacing w:after="111"/>
        <w:ind w:left="355"/>
        <w:jc w:val="left"/>
      </w:pPr>
      <w:r>
        <w:rPr>
          <w:rFonts w:ascii="Wingdings" w:eastAsia="Wingdings" w:hAnsi="Wingdings" w:cs="Wingdings"/>
        </w:rPr>
        <w:t></w:t>
      </w:r>
      <w:r w:rsidR="00326E4C">
        <w:t xml:space="preserve"> </w:t>
      </w:r>
      <w:r w:rsidR="00041A21">
        <w:t>Realizacja celów i zadań określonych w ustawie o systemie oświaty oraz przepisach wydanych na jej podstawie oraz o statucie Zespołu Szkół Ogólnokształcących w Zielonej Górze a  w szczególności zapewnia uczniom jednolite wykształcenie na poziomie szkoły podstawowej, gimnazjalnym i licealnym</w:t>
      </w:r>
    </w:p>
    <w:p w:rsidR="008A622B" w:rsidRDefault="006423CD">
      <w:pPr>
        <w:spacing w:after="134"/>
        <w:ind w:left="-5" w:right="350"/>
      </w:pPr>
      <w:r>
        <w:t xml:space="preserve">Forma organizacyjno-prawna jednostki: </w:t>
      </w:r>
      <w:r>
        <w:rPr>
          <w:i/>
        </w:rPr>
        <w:t xml:space="preserve"> </w:t>
      </w:r>
    </w:p>
    <w:p w:rsidR="008A622B" w:rsidRDefault="006423CD">
      <w:pPr>
        <w:numPr>
          <w:ilvl w:val="0"/>
          <w:numId w:val="2"/>
        </w:numPr>
        <w:spacing w:after="125"/>
        <w:ind w:right="350" w:hanging="122"/>
      </w:pPr>
      <w:r>
        <w:t xml:space="preserve">jednostka budżetowa Jednostki Samorządu Terytorialnego - Miasto Zielona Góra </w:t>
      </w:r>
    </w:p>
    <w:p w:rsidR="008A622B" w:rsidRDefault="008A622B">
      <w:pPr>
        <w:spacing w:after="127"/>
        <w:ind w:left="0" w:firstLine="0"/>
        <w:jc w:val="left"/>
      </w:pPr>
    </w:p>
    <w:p w:rsidR="008A622B" w:rsidRDefault="006423CD">
      <w:pPr>
        <w:numPr>
          <w:ilvl w:val="0"/>
          <w:numId w:val="3"/>
        </w:numPr>
        <w:spacing w:after="101"/>
        <w:ind w:right="454" w:hanging="348"/>
        <w:jc w:val="left"/>
      </w:pPr>
      <w:r>
        <w:rPr>
          <w:b/>
        </w:rPr>
        <w:t xml:space="preserve">Okres objęty sprawozdaniem finansowym  </w:t>
      </w:r>
    </w:p>
    <w:p w:rsidR="008A622B" w:rsidRDefault="006423CD">
      <w:pPr>
        <w:spacing w:line="381" w:lineRule="auto"/>
        <w:ind w:left="-5" w:right="350"/>
      </w:pPr>
      <w:r>
        <w:t>Sprawozdanie finansowe o</w:t>
      </w:r>
      <w:r w:rsidR="007213B5">
        <w:t>bejmuje okres od 1 stycznia 2018</w:t>
      </w:r>
      <w:r w:rsidR="006C3454">
        <w:t xml:space="preserve"> roku do 31 grudnia 2018</w:t>
      </w:r>
      <w:r>
        <w:t xml:space="preserve"> roku oraz porównywalne dane finan</w:t>
      </w:r>
      <w:r w:rsidR="00041A21">
        <w:t>sowe za okres od 1 stycznia 2017 roku do 31 grudnia 2017</w:t>
      </w:r>
      <w:r>
        <w:t xml:space="preserve"> roku.  </w:t>
      </w:r>
    </w:p>
    <w:p w:rsidR="008A622B" w:rsidRDefault="006423CD">
      <w:pPr>
        <w:spacing w:after="128"/>
        <w:ind w:left="0" w:firstLine="0"/>
        <w:jc w:val="left"/>
      </w:pPr>
      <w:r>
        <w:t xml:space="preserve"> </w:t>
      </w:r>
    </w:p>
    <w:p w:rsidR="008A622B" w:rsidRDefault="006423CD">
      <w:pPr>
        <w:numPr>
          <w:ilvl w:val="0"/>
          <w:numId w:val="3"/>
        </w:numPr>
        <w:spacing w:after="101"/>
        <w:ind w:right="454" w:hanging="348"/>
        <w:jc w:val="left"/>
      </w:pPr>
      <w:r>
        <w:rPr>
          <w:b/>
        </w:rPr>
        <w:t xml:space="preserve">Założenie kontynuacji działalności  </w:t>
      </w:r>
    </w:p>
    <w:p w:rsidR="008A622B" w:rsidRDefault="006423CD">
      <w:pPr>
        <w:spacing w:line="382" w:lineRule="auto"/>
        <w:ind w:left="-5" w:right="350"/>
      </w:pPr>
      <w:r>
        <w:t>Sprawozdanie finansowe zostało sporządzone przy założeniu kontynuowania działalności gosp</w:t>
      </w:r>
      <w:r w:rsidR="006C3454">
        <w:t>odarczej przez Zespół Szkół Ogólnokształcących i Sportowych</w:t>
      </w:r>
      <w:r>
        <w:t xml:space="preserve"> w dającej się przewidzieć przyszłości, gdyż nie istnieją okoliczności wskazujące na zagrożenie kontynuowania przez nią działalności. </w:t>
      </w:r>
    </w:p>
    <w:p w:rsidR="008A622B" w:rsidRDefault="006423CD">
      <w:pPr>
        <w:spacing w:after="128"/>
        <w:ind w:left="0" w:firstLine="0"/>
        <w:jc w:val="left"/>
      </w:pPr>
      <w:r>
        <w:t xml:space="preserve"> </w:t>
      </w:r>
    </w:p>
    <w:p w:rsidR="008A622B" w:rsidRDefault="006423CD">
      <w:pPr>
        <w:numPr>
          <w:ilvl w:val="0"/>
          <w:numId w:val="3"/>
        </w:numPr>
        <w:spacing w:after="132"/>
        <w:ind w:right="454" w:hanging="348"/>
        <w:jc w:val="left"/>
      </w:pPr>
      <w:r>
        <w:rPr>
          <w:b/>
        </w:rPr>
        <w:t xml:space="preserve">Przyjęte zasady rachunkowości  </w:t>
      </w:r>
    </w:p>
    <w:p w:rsidR="008A622B" w:rsidRDefault="006423CD">
      <w:pPr>
        <w:spacing w:after="98"/>
        <w:ind w:left="0" w:right="414" w:firstLine="0"/>
        <w:jc w:val="center"/>
      </w:pPr>
      <w:r>
        <w:rPr>
          <w:b/>
        </w:rPr>
        <w:t xml:space="preserve">Metody wyceny aktywów i pasywów oraz metoda sporządzania rachunku zysków i strat  </w:t>
      </w:r>
    </w:p>
    <w:p w:rsidR="008A622B" w:rsidRDefault="006423CD">
      <w:pPr>
        <w:spacing w:after="101"/>
        <w:ind w:left="0" w:firstLine="0"/>
        <w:jc w:val="left"/>
      </w:pPr>
      <w:r>
        <w:rPr>
          <w:b/>
        </w:rPr>
        <w:t xml:space="preserve"> </w:t>
      </w:r>
    </w:p>
    <w:p w:rsidR="008A622B" w:rsidRDefault="006423CD">
      <w:pPr>
        <w:spacing w:line="377" w:lineRule="auto"/>
        <w:ind w:left="-5" w:right="350"/>
      </w:pPr>
      <w:r>
        <w:t>W ro</w:t>
      </w:r>
      <w:r w:rsidR="006C3454">
        <w:t>ku obrotowym 2018 r</w:t>
      </w:r>
      <w:r>
        <w:t xml:space="preserve"> stosowano zasady wynikające z ustawy z dnia 29 września 1994 r. o rachunkowości (Dz. U. z 2018 poz. 395 tj. z </w:t>
      </w:r>
      <w:proofErr w:type="spellStart"/>
      <w:r>
        <w:t>późn</w:t>
      </w:r>
      <w:proofErr w:type="spellEnd"/>
      <w:r>
        <w:t xml:space="preserve">. zm.) z uwzględnieniem szczególnych zasad wyceny zawartych w rozporządzeniu Ministra </w:t>
      </w:r>
      <w:r>
        <w:lastRenderedPageBreak/>
        <w:t xml:space="preserve">Rozwoju i 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2017 r. poz. 1911). </w:t>
      </w:r>
    </w:p>
    <w:p w:rsidR="008A622B" w:rsidRDefault="006423CD">
      <w:pPr>
        <w:spacing w:after="132"/>
        <w:ind w:left="-5" w:right="454"/>
        <w:jc w:val="left"/>
      </w:pPr>
      <w:r>
        <w:rPr>
          <w:b/>
        </w:rPr>
        <w:t xml:space="preserve">Środki trwałe  </w:t>
      </w:r>
    </w:p>
    <w:p w:rsidR="008A622B" w:rsidRDefault="006423CD">
      <w:pPr>
        <w:spacing w:after="96"/>
        <w:ind w:left="-5" w:right="350"/>
      </w:pPr>
      <w:r>
        <w:t>Środki trwałe wyce</w:t>
      </w:r>
      <w:r w:rsidR="00B536BD">
        <w:t>niane były według nabycia</w:t>
      </w:r>
      <w:r w:rsidR="00BD5A55">
        <w:t xml:space="preserve"> z uwzględnieniem odpisów amortyzacyjnych ustalonych na dzień bilansowy. Środki trwałe o wartości do 10tys. Złotych oraz środki dydaktyczne, meble, pozostałe umarzane są jednorazowo natomiast środki trwałe przekraczające 10 tyś. Złotych  umarza się metodą liniową na podstawie aktualnego planu amortyzacji wg stawek ustalonych w ustawie o po</w:t>
      </w:r>
      <w:r w:rsidR="00FC26AB">
        <w:t>dat</w:t>
      </w:r>
      <w:r w:rsidR="00BD5A55">
        <w:t>ku dochodowym od osób prawnych.</w:t>
      </w:r>
    </w:p>
    <w:p w:rsidR="008A622B" w:rsidRDefault="006423CD">
      <w:pPr>
        <w:spacing w:after="130"/>
        <w:ind w:left="0" w:firstLine="0"/>
        <w:jc w:val="left"/>
      </w:pPr>
      <w:r>
        <w:t xml:space="preserve"> </w:t>
      </w:r>
    </w:p>
    <w:p w:rsidR="008A622B" w:rsidRDefault="006423CD">
      <w:pPr>
        <w:spacing w:after="132"/>
        <w:ind w:left="-5" w:right="454"/>
        <w:jc w:val="left"/>
      </w:pPr>
      <w:r>
        <w:rPr>
          <w:b/>
        </w:rPr>
        <w:t xml:space="preserve">Wartości niematerialne i prawne  </w:t>
      </w:r>
    </w:p>
    <w:p w:rsidR="008A622B" w:rsidRDefault="006423CD" w:rsidP="00BD5A55">
      <w:pPr>
        <w:spacing w:after="98"/>
        <w:ind w:left="-5" w:right="350"/>
      </w:pPr>
      <w:r>
        <w:t xml:space="preserve">Wartości niematerialne i </w:t>
      </w:r>
      <w:r w:rsidR="00B536BD">
        <w:t>prawne wyceniane były według cen zakupu</w:t>
      </w:r>
      <w:r w:rsidR="00BD5A55">
        <w:t>. Umarza się według zasad określonych dla środków trwałych poniżej 10 tyś. złotych stosując dla amortyzacji stawkę 100</w:t>
      </w:r>
    </w:p>
    <w:p w:rsidR="008A622B" w:rsidRDefault="006423CD" w:rsidP="00BD5A55">
      <w:pPr>
        <w:spacing w:after="134"/>
        <w:ind w:left="0" w:firstLine="0"/>
        <w:jc w:val="left"/>
      </w:pPr>
      <w:r>
        <w:rPr>
          <w:b/>
        </w:rPr>
        <w:t xml:space="preserve"> </w:t>
      </w:r>
    </w:p>
    <w:p w:rsidR="008A622B" w:rsidRDefault="006423CD">
      <w:pPr>
        <w:spacing w:after="132"/>
        <w:ind w:left="-5" w:right="454"/>
        <w:jc w:val="left"/>
      </w:pPr>
      <w:r>
        <w:rPr>
          <w:b/>
        </w:rPr>
        <w:t xml:space="preserve">Należności  </w:t>
      </w:r>
    </w:p>
    <w:p w:rsidR="008A622B" w:rsidRDefault="006423CD">
      <w:pPr>
        <w:spacing w:after="96"/>
        <w:ind w:left="-5" w:right="350"/>
      </w:pPr>
      <w:r>
        <w:t xml:space="preserve">Należności wycenione zostały w kwocie wymaganej zapłaty, z zachowaniem zasady ostrożności.  </w:t>
      </w:r>
    </w:p>
    <w:p w:rsidR="008A622B" w:rsidRDefault="006423CD">
      <w:pPr>
        <w:spacing w:after="131"/>
        <w:ind w:left="0" w:firstLine="0"/>
        <w:jc w:val="left"/>
      </w:pPr>
      <w:r>
        <w:t xml:space="preserve"> </w:t>
      </w:r>
    </w:p>
    <w:p w:rsidR="008A622B" w:rsidRDefault="006423CD">
      <w:pPr>
        <w:spacing w:after="0" w:line="401" w:lineRule="auto"/>
        <w:ind w:left="-5" w:right="454"/>
        <w:jc w:val="left"/>
      </w:pPr>
      <w:r>
        <w:rPr>
          <w:b/>
        </w:rPr>
        <w:t xml:space="preserve">Zapasy materiałów, towarów, produktów gotowych, półproduktów i produktów w toku  </w:t>
      </w:r>
      <w:r w:rsidR="00B536BD">
        <w:t>wycenia się według cen zakupu</w:t>
      </w:r>
      <w:r>
        <w:t xml:space="preserve"> </w:t>
      </w:r>
      <w:r w:rsidR="00CF0117">
        <w:t>jednostka prowadzi ewidencję artykułów żywnościowych ilościowo-wartościową. Przyjęcie artykułów do magazynu następuje w rzeczywistych cenach zakupu. Rozchody artykułów z magazynu wycenia się metoda pierwsze weszło, pierwsze wyszło(LIFO)</w:t>
      </w:r>
    </w:p>
    <w:p w:rsidR="008A622B" w:rsidRDefault="006423CD">
      <w:pPr>
        <w:spacing w:after="128"/>
        <w:ind w:left="0" w:firstLine="0"/>
        <w:jc w:val="left"/>
      </w:pPr>
      <w:r>
        <w:t xml:space="preserve"> </w:t>
      </w:r>
    </w:p>
    <w:p w:rsidR="008A622B" w:rsidRDefault="006423CD">
      <w:pPr>
        <w:spacing w:after="101"/>
        <w:ind w:left="-5" w:right="350"/>
      </w:pPr>
      <w:r>
        <w:rPr>
          <w:b/>
        </w:rPr>
        <w:t>Inwestycje krótkoterminowe</w:t>
      </w:r>
      <w:r>
        <w:t xml:space="preserve"> wycenia się według</w:t>
      </w:r>
      <w:r w:rsidR="00B536BD">
        <w:t xml:space="preserve"> cen zakupu</w:t>
      </w:r>
      <w:r>
        <w:t xml:space="preserve">  </w:t>
      </w:r>
    </w:p>
    <w:p w:rsidR="008A622B" w:rsidRDefault="006423CD">
      <w:pPr>
        <w:spacing w:after="131"/>
        <w:ind w:left="0" w:firstLine="0"/>
        <w:jc w:val="left"/>
      </w:pPr>
      <w:r>
        <w:t xml:space="preserve"> </w:t>
      </w:r>
    </w:p>
    <w:p w:rsidR="008A622B" w:rsidRDefault="006423CD">
      <w:pPr>
        <w:spacing w:after="132"/>
        <w:ind w:left="-5" w:right="454"/>
        <w:jc w:val="left"/>
      </w:pPr>
      <w:r>
        <w:rPr>
          <w:b/>
        </w:rPr>
        <w:t>„Odpis aktualizujący należności</w:t>
      </w:r>
      <w:r w:rsidR="00B536BD">
        <w:t xml:space="preserve"> w kwocie 28</w:t>
      </w:r>
      <w:r w:rsidR="00373FAD">
        <w:t> 539,78</w:t>
      </w:r>
      <w:r w:rsidR="00B536BD">
        <w:t xml:space="preserve"> </w:t>
      </w:r>
      <w:r>
        <w:t xml:space="preserve">dotyczy:  </w:t>
      </w:r>
    </w:p>
    <w:p w:rsidR="008A622B" w:rsidRDefault="00A96BEA">
      <w:pPr>
        <w:numPr>
          <w:ilvl w:val="0"/>
          <w:numId w:val="4"/>
        </w:numPr>
        <w:spacing w:after="96"/>
        <w:ind w:right="350" w:hanging="122"/>
      </w:pPr>
      <w:r>
        <w:t>Należność główna 28</w:t>
      </w:r>
      <w:r w:rsidR="00373FAD">
        <w:t> 441,22</w:t>
      </w:r>
    </w:p>
    <w:p w:rsidR="00373FAD" w:rsidRDefault="00373FAD">
      <w:pPr>
        <w:numPr>
          <w:ilvl w:val="0"/>
          <w:numId w:val="4"/>
        </w:numPr>
        <w:spacing w:after="96"/>
        <w:ind w:right="350" w:hanging="122"/>
      </w:pPr>
      <w:r>
        <w:t>Odsetki  - 98,56</w:t>
      </w:r>
    </w:p>
    <w:p w:rsidR="008A622B" w:rsidRDefault="006423CD">
      <w:pPr>
        <w:spacing w:after="130"/>
        <w:ind w:left="0" w:firstLine="0"/>
        <w:jc w:val="left"/>
      </w:pPr>
      <w:r>
        <w:t xml:space="preserve"> </w:t>
      </w:r>
    </w:p>
    <w:p w:rsidR="008A622B" w:rsidRDefault="006423CD">
      <w:pPr>
        <w:spacing w:after="132"/>
        <w:ind w:left="370" w:right="454"/>
        <w:jc w:val="left"/>
      </w:pPr>
      <w:r>
        <w:rPr>
          <w:b/>
        </w:rPr>
        <w:t xml:space="preserve">4. Inne informacje mające istotne znaczenie dla rzetelności sprawozdania </w:t>
      </w:r>
    </w:p>
    <w:p w:rsidR="008A622B" w:rsidRDefault="00373FAD" w:rsidP="00373FAD">
      <w:pPr>
        <w:spacing w:after="96"/>
        <w:ind w:left="295" w:right="350" w:firstLine="0"/>
      </w:pPr>
      <w:r>
        <w:t xml:space="preserve">- Zarządzenie nr1a/2018 z dnia 02.01.2018r.dyrektora Zespołu Szkół Ogólnokształcących i Sportowych w sprawie wprowadzenia zasad polityki rachunkowości wprowadza się jako obowiązujące od dnia 02.01.2018r. </w:t>
      </w:r>
    </w:p>
    <w:p w:rsidR="008A622B" w:rsidRDefault="006423CD">
      <w:pPr>
        <w:spacing w:after="98"/>
        <w:ind w:left="708" w:firstLine="0"/>
        <w:jc w:val="left"/>
      </w:pPr>
      <w:r>
        <w:rPr>
          <w:b/>
        </w:rPr>
        <w:t xml:space="preserve"> </w:t>
      </w:r>
    </w:p>
    <w:p w:rsidR="008A622B" w:rsidRDefault="006423CD">
      <w:pPr>
        <w:spacing w:after="0"/>
        <w:ind w:left="708" w:firstLine="0"/>
        <w:jc w:val="left"/>
        <w:rPr>
          <w:b/>
          <w:sz w:val="24"/>
        </w:rPr>
      </w:pPr>
      <w:r>
        <w:rPr>
          <w:b/>
        </w:rPr>
        <w:t xml:space="preserve"> </w:t>
      </w:r>
    </w:p>
    <w:p w:rsidR="00B536BD" w:rsidRDefault="00B536BD">
      <w:pPr>
        <w:spacing w:after="0"/>
        <w:ind w:left="708" w:firstLine="0"/>
        <w:jc w:val="left"/>
        <w:rPr>
          <w:b/>
          <w:sz w:val="24"/>
        </w:rPr>
      </w:pPr>
    </w:p>
    <w:p w:rsidR="00B536BD" w:rsidRDefault="00B536BD">
      <w:pPr>
        <w:spacing w:after="0"/>
        <w:ind w:left="708" w:firstLine="0"/>
        <w:jc w:val="left"/>
        <w:rPr>
          <w:b/>
          <w:sz w:val="24"/>
        </w:rPr>
      </w:pPr>
    </w:p>
    <w:p w:rsidR="00166299" w:rsidRDefault="00166299" w:rsidP="00E14DFB">
      <w:pPr>
        <w:spacing w:after="0"/>
        <w:ind w:left="0" w:firstLine="0"/>
        <w:jc w:val="left"/>
        <w:rPr>
          <w:b/>
          <w:sz w:val="24"/>
        </w:rPr>
      </w:pPr>
    </w:p>
    <w:p w:rsidR="00166299" w:rsidRDefault="00166299">
      <w:pPr>
        <w:spacing w:after="0"/>
        <w:ind w:left="708" w:firstLine="0"/>
        <w:jc w:val="left"/>
        <w:rPr>
          <w:b/>
          <w:sz w:val="24"/>
        </w:rPr>
      </w:pPr>
    </w:p>
    <w:p w:rsidR="00B536BD" w:rsidRDefault="00B536BD">
      <w:pPr>
        <w:spacing w:after="0"/>
        <w:ind w:left="708" w:firstLine="0"/>
        <w:jc w:val="left"/>
        <w:rPr>
          <w:b/>
          <w:sz w:val="24"/>
        </w:rPr>
      </w:pPr>
    </w:p>
    <w:p w:rsidR="00D9295C" w:rsidRDefault="00D9295C" w:rsidP="009C5BB8">
      <w:pPr>
        <w:spacing w:after="0"/>
        <w:ind w:left="0" w:firstLine="0"/>
        <w:jc w:val="left"/>
        <w:rPr>
          <w:b/>
          <w:sz w:val="24"/>
        </w:rPr>
      </w:pPr>
    </w:p>
    <w:p w:rsidR="00B536BD" w:rsidRDefault="00B536BD">
      <w:pPr>
        <w:spacing w:after="0"/>
        <w:ind w:left="708" w:firstLine="0"/>
        <w:jc w:val="left"/>
        <w:rPr>
          <w:b/>
          <w:sz w:val="24"/>
        </w:rPr>
      </w:pPr>
    </w:p>
    <w:p w:rsidR="00B536BD" w:rsidRDefault="00B536BD">
      <w:pPr>
        <w:spacing w:after="0"/>
        <w:ind w:left="708" w:firstLine="0"/>
        <w:jc w:val="left"/>
        <w:rPr>
          <w:b/>
          <w:sz w:val="24"/>
        </w:rPr>
      </w:pPr>
    </w:p>
    <w:p w:rsidR="00B536BD" w:rsidRDefault="00B536BD">
      <w:pPr>
        <w:spacing w:after="0"/>
        <w:ind w:left="708" w:firstLine="0"/>
        <w:jc w:val="left"/>
      </w:pPr>
    </w:p>
    <w:p w:rsidR="008A622B" w:rsidRDefault="006423CD">
      <w:pPr>
        <w:pStyle w:val="Nagwek1"/>
        <w:ind w:left="349" w:right="0" w:hanging="349"/>
      </w:pPr>
      <w:r>
        <w:t xml:space="preserve">DODATKOWE INFORMACJE I OBJAŚNIENIA </w:t>
      </w:r>
    </w:p>
    <w:p w:rsidR="008A622B" w:rsidRDefault="006423CD">
      <w:pPr>
        <w:spacing w:after="134"/>
        <w:ind w:left="0" w:right="302" w:firstLine="0"/>
        <w:jc w:val="center"/>
      </w:pPr>
      <w:r>
        <w:rPr>
          <w:b/>
        </w:rPr>
        <w:t xml:space="preserve"> </w:t>
      </w:r>
    </w:p>
    <w:p w:rsidR="008A622B" w:rsidRDefault="006423CD" w:rsidP="00D9295C">
      <w:pPr>
        <w:numPr>
          <w:ilvl w:val="0"/>
          <w:numId w:val="5"/>
        </w:numPr>
        <w:spacing w:line="360" w:lineRule="auto"/>
        <w:ind w:right="350" w:hanging="348"/>
      </w:pPr>
      <w:r>
        <w:t>Szczegółowy zakres zmian wartości grup rodzajowych środków trwałych, wartości niematerialnych i prawnych.</w:t>
      </w:r>
      <w:r>
        <w:rPr>
          <w:b/>
        </w:rPr>
        <w:t xml:space="preserve"> </w:t>
      </w:r>
    </w:p>
    <w:p w:rsidR="008A622B" w:rsidRDefault="006423CD">
      <w:pPr>
        <w:ind w:left="293" w:right="350"/>
      </w:pPr>
      <w:r>
        <w:t xml:space="preserve">Tabela 1.  Zmiany stanu wartości początkowej wartości niematerialnych i prawnych oraz rzeczowych aktywów trwałych </w:t>
      </w:r>
    </w:p>
    <w:p w:rsidR="00164E3B" w:rsidRDefault="00164E3B">
      <w:pPr>
        <w:ind w:left="293" w:right="350"/>
      </w:pPr>
    </w:p>
    <w:p w:rsidR="00166299" w:rsidRDefault="009613CA">
      <w:pPr>
        <w:ind w:left="293" w:right="350"/>
      </w:pPr>
      <w:r w:rsidRPr="009613CA">
        <w:rPr>
          <w:noProof/>
        </w:rPr>
        <w:drawing>
          <wp:inline distT="0" distB="0" distL="0" distR="0">
            <wp:extent cx="6858000" cy="3791759"/>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3791759"/>
                    </a:xfrm>
                    <a:prstGeom prst="rect">
                      <a:avLst/>
                    </a:prstGeom>
                    <a:noFill/>
                    <a:ln>
                      <a:noFill/>
                    </a:ln>
                  </pic:spPr>
                </pic:pic>
              </a:graphicData>
            </a:graphic>
          </wp:inline>
        </w:drawing>
      </w:r>
    </w:p>
    <w:p w:rsidR="00164E3B" w:rsidRDefault="00164E3B">
      <w:pPr>
        <w:ind w:left="293" w:right="350"/>
      </w:pPr>
    </w:p>
    <w:p w:rsidR="00111C7E" w:rsidRDefault="00111C7E" w:rsidP="00111C7E">
      <w:pPr>
        <w:pStyle w:val="Akapitzlist"/>
        <w:numPr>
          <w:ilvl w:val="0"/>
          <w:numId w:val="10"/>
        </w:numPr>
        <w:ind w:right="350"/>
      </w:pPr>
      <w:r>
        <w:t>W pozycji nr 1.3</w:t>
      </w:r>
      <w:bookmarkStart w:id="0" w:name="_GoBack"/>
      <w:bookmarkEnd w:id="0"/>
      <w:r>
        <w:t xml:space="preserve"> kolumna 8-likwidacja</w:t>
      </w:r>
      <w:r>
        <w:t xml:space="preserve"> protokół likwidacji nr 14/2018 dotyczy likwidacji środka trwałego ze względu na zużycie i brak możliwości naprawy. Protokół przekazania do utylizacji z dnia 12.07.2018r.</w:t>
      </w:r>
    </w:p>
    <w:p w:rsidR="00111C7E" w:rsidRDefault="00111C7E">
      <w:pPr>
        <w:ind w:left="293" w:right="350"/>
      </w:pPr>
    </w:p>
    <w:p w:rsidR="00164E3B" w:rsidRDefault="00111C7E">
      <w:pPr>
        <w:ind w:left="293" w:right="350"/>
      </w:pPr>
      <w:r>
        <w:t>2</w:t>
      </w:r>
      <w:r w:rsidR="00211CEA">
        <w:t>.W</w:t>
      </w:r>
      <w:r>
        <w:t xml:space="preserve"> pozycji nr 1.5</w:t>
      </w:r>
      <w:r w:rsidR="00211CEA">
        <w:t xml:space="preserve"> kolumna 8-likwidacja przeniesienie środków trwałych nisko cennych o wartości poniżej 500,00zł na ewide</w:t>
      </w:r>
      <w:r w:rsidR="00121339">
        <w:t>ncję iloś</w:t>
      </w:r>
      <w:r w:rsidR="00211CEA">
        <w:t>ci</w:t>
      </w:r>
      <w:r w:rsidR="00121339">
        <w:t>ową Pk-600 -312 112,16 oraz likwidacja środków trwałych nisko cennych ze względu na zniszczenie i nie nadające się do użytkowania protokół likwidacji nr 06/2018, 08/2018,10/2018,12/2018</w:t>
      </w:r>
    </w:p>
    <w:p w:rsidR="00164E3B" w:rsidRDefault="00164E3B">
      <w:pPr>
        <w:ind w:left="293" w:right="350"/>
      </w:pPr>
    </w:p>
    <w:p w:rsidR="00164E3B" w:rsidRDefault="00164E3B">
      <w:pPr>
        <w:ind w:left="293" w:right="350"/>
      </w:pPr>
    </w:p>
    <w:p w:rsidR="00164E3B" w:rsidRDefault="00164E3B">
      <w:pPr>
        <w:ind w:left="293" w:right="350"/>
      </w:pPr>
    </w:p>
    <w:p w:rsidR="00164E3B" w:rsidRDefault="00164E3B">
      <w:pPr>
        <w:ind w:left="293" w:right="350"/>
      </w:pPr>
    </w:p>
    <w:p w:rsidR="00164E3B" w:rsidRDefault="00164E3B">
      <w:pPr>
        <w:ind w:left="293" w:right="350"/>
      </w:pPr>
    </w:p>
    <w:p w:rsidR="00164E3B" w:rsidRDefault="00164E3B">
      <w:pPr>
        <w:ind w:left="293" w:right="350"/>
      </w:pPr>
    </w:p>
    <w:p w:rsidR="00164E3B" w:rsidRDefault="00164E3B">
      <w:pPr>
        <w:ind w:left="293" w:right="350"/>
      </w:pPr>
    </w:p>
    <w:p w:rsidR="00164E3B" w:rsidRDefault="00164E3B">
      <w:pPr>
        <w:ind w:left="293" w:right="350"/>
      </w:pPr>
    </w:p>
    <w:p w:rsidR="00164E3B" w:rsidRDefault="00164E3B">
      <w:pPr>
        <w:ind w:left="293" w:right="350"/>
      </w:pPr>
    </w:p>
    <w:p w:rsidR="00164E3B" w:rsidRDefault="00164E3B">
      <w:pPr>
        <w:ind w:left="293" w:right="350"/>
      </w:pPr>
    </w:p>
    <w:p w:rsidR="00164E3B" w:rsidRDefault="00164E3B">
      <w:pPr>
        <w:ind w:left="293" w:right="350"/>
      </w:pPr>
    </w:p>
    <w:p w:rsidR="00164E3B" w:rsidRDefault="00164E3B">
      <w:pPr>
        <w:ind w:left="293" w:right="350"/>
      </w:pPr>
    </w:p>
    <w:p w:rsidR="00164E3B" w:rsidRDefault="00164E3B">
      <w:pPr>
        <w:ind w:left="293" w:right="350"/>
      </w:pPr>
    </w:p>
    <w:p w:rsidR="00164E3B" w:rsidRDefault="00164E3B">
      <w:pPr>
        <w:ind w:left="293" w:right="350"/>
      </w:pPr>
    </w:p>
    <w:p w:rsidR="00164E3B" w:rsidRDefault="00164E3B">
      <w:pPr>
        <w:ind w:left="293" w:right="350"/>
      </w:pPr>
    </w:p>
    <w:p w:rsidR="00164E3B" w:rsidRDefault="00164E3B">
      <w:pPr>
        <w:ind w:left="293" w:right="350"/>
      </w:pPr>
    </w:p>
    <w:p w:rsidR="00164E3B" w:rsidRDefault="00164E3B">
      <w:pPr>
        <w:ind w:left="293" w:right="350"/>
      </w:pPr>
    </w:p>
    <w:p w:rsidR="00164E3B" w:rsidRDefault="00164E3B">
      <w:pPr>
        <w:ind w:left="293" w:right="350"/>
      </w:pPr>
    </w:p>
    <w:p w:rsidR="008A622B" w:rsidRDefault="006423CD">
      <w:pPr>
        <w:ind w:left="293" w:right="350"/>
      </w:pPr>
      <w:r>
        <w:t>Tabela 2.  Zmiany stanu umorzenia wartości niematerialnych i prawnych o</w:t>
      </w:r>
      <w:r w:rsidR="00164E3B">
        <w:t>raz rzeczowych aktywów trwałych</w:t>
      </w:r>
    </w:p>
    <w:p w:rsidR="00164E3B" w:rsidRDefault="009613CA">
      <w:pPr>
        <w:ind w:left="293" w:right="350"/>
      </w:pPr>
      <w:r w:rsidRPr="009613CA">
        <w:rPr>
          <w:noProof/>
        </w:rPr>
        <w:drawing>
          <wp:inline distT="0" distB="0" distL="0" distR="0">
            <wp:extent cx="6858000" cy="3883894"/>
            <wp:effectExtent l="0" t="0" r="0" b="254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3883894"/>
                    </a:xfrm>
                    <a:prstGeom prst="rect">
                      <a:avLst/>
                    </a:prstGeom>
                    <a:noFill/>
                    <a:ln>
                      <a:noFill/>
                    </a:ln>
                  </pic:spPr>
                </pic:pic>
              </a:graphicData>
            </a:graphic>
          </wp:inline>
        </w:drawing>
      </w:r>
    </w:p>
    <w:p w:rsidR="008A622B" w:rsidRDefault="008A622B">
      <w:pPr>
        <w:spacing w:after="132"/>
        <w:ind w:left="708" w:firstLine="0"/>
        <w:jc w:val="left"/>
      </w:pPr>
    </w:p>
    <w:p w:rsidR="00164E3B" w:rsidRDefault="00164E3B">
      <w:pPr>
        <w:spacing w:after="132"/>
        <w:ind w:left="708" w:firstLine="0"/>
        <w:jc w:val="left"/>
      </w:pPr>
    </w:p>
    <w:p w:rsidR="008A622B" w:rsidRDefault="006423CD" w:rsidP="00AB2077">
      <w:pPr>
        <w:numPr>
          <w:ilvl w:val="0"/>
          <w:numId w:val="5"/>
        </w:numPr>
        <w:spacing w:after="98" w:line="362" w:lineRule="auto"/>
        <w:ind w:left="718" w:right="350" w:hanging="348"/>
      </w:pPr>
      <w:r>
        <w:t>Informacja o aktualnej wartości rynkowej środk</w:t>
      </w:r>
      <w:r w:rsidR="005D3241">
        <w:t>ów trwałych, w tym dóbr kultury. Jednostka nie posiada informacji na temat aktualnej wartości ryn</w:t>
      </w:r>
      <w:r w:rsidR="00450DF2">
        <w:t xml:space="preserve">kowej środków trwałych oraz </w:t>
      </w:r>
      <w:r w:rsidR="00AB2077">
        <w:t xml:space="preserve"> nie posiada dóbr kultury.</w:t>
      </w:r>
    </w:p>
    <w:p w:rsidR="00EA1BD7" w:rsidRDefault="00EA1BD7" w:rsidP="00164E3B">
      <w:pPr>
        <w:spacing w:after="35" w:line="360" w:lineRule="auto"/>
        <w:ind w:left="718" w:right="350" w:firstLine="0"/>
      </w:pPr>
    </w:p>
    <w:p w:rsidR="00164E3B" w:rsidRDefault="00164E3B" w:rsidP="00EA1BD7">
      <w:pPr>
        <w:spacing w:after="35" w:line="360" w:lineRule="auto"/>
        <w:ind w:left="708" w:right="350" w:firstLine="0"/>
      </w:pPr>
    </w:p>
    <w:p w:rsidR="00164E3B" w:rsidRDefault="00164E3B" w:rsidP="00EA1BD7">
      <w:pPr>
        <w:spacing w:after="35" w:line="360" w:lineRule="auto"/>
        <w:ind w:left="708" w:right="350" w:firstLine="0"/>
      </w:pPr>
    </w:p>
    <w:p w:rsidR="00164E3B" w:rsidRDefault="00164E3B" w:rsidP="00EA1BD7">
      <w:pPr>
        <w:spacing w:after="35" w:line="360" w:lineRule="auto"/>
        <w:ind w:left="708" w:right="350" w:firstLine="0"/>
      </w:pPr>
    </w:p>
    <w:p w:rsidR="00164E3B" w:rsidRDefault="00164E3B" w:rsidP="00EA1BD7">
      <w:pPr>
        <w:spacing w:after="35" w:line="360" w:lineRule="auto"/>
        <w:ind w:left="708" w:right="350" w:firstLine="0"/>
      </w:pPr>
    </w:p>
    <w:p w:rsidR="00164E3B" w:rsidRDefault="00164E3B" w:rsidP="00EA1BD7">
      <w:pPr>
        <w:spacing w:after="35" w:line="360" w:lineRule="auto"/>
        <w:ind w:left="708" w:right="350" w:firstLine="0"/>
      </w:pPr>
    </w:p>
    <w:p w:rsidR="00164E3B" w:rsidRDefault="00164E3B" w:rsidP="00EA1BD7">
      <w:pPr>
        <w:spacing w:after="35" w:line="360" w:lineRule="auto"/>
        <w:ind w:left="708" w:right="350" w:firstLine="0"/>
      </w:pPr>
    </w:p>
    <w:p w:rsidR="00164E3B" w:rsidRDefault="00164E3B" w:rsidP="00EA1BD7">
      <w:pPr>
        <w:spacing w:after="35" w:line="360" w:lineRule="auto"/>
        <w:ind w:left="708" w:right="350" w:firstLine="0"/>
      </w:pPr>
    </w:p>
    <w:p w:rsidR="00164E3B" w:rsidRDefault="00164E3B" w:rsidP="00EA1BD7">
      <w:pPr>
        <w:spacing w:after="35" w:line="360" w:lineRule="auto"/>
        <w:ind w:left="708" w:right="350" w:firstLine="0"/>
      </w:pPr>
    </w:p>
    <w:p w:rsidR="00164E3B" w:rsidRDefault="00164E3B" w:rsidP="00EA1BD7">
      <w:pPr>
        <w:spacing w:after="35" w:line="360" w:lineRule="auto"/>
        <w:ind w:left="708" w:right="350" w:firstLine="0"/>
      </w:pPr>
    </w:p>
    <w:p w:rsidR="00164E3B" w:rsidRDefault="00164E3B" w:rsidP="00EA1BD7">
      <w:pPr>
        <w:spacing w:after="35" w:line="360" w:lineRule="auto"/>
        <w:ind w:left="708" w:right="350" w:firstLine="0"/>
      </w:pPr>
    </w:p>
    <w:p w:rsidR="00164E3B" w:rsidRDefault="00164E3B" w:rsidP="00EA1BD7">
      <w:pPr>
        <w:spacing w:after="35" w:line="360" w:lineRule="auto"/>
        <w:ind w:left="708" w:right="350" w:firstLine="0"/>
      </w:pPr>
    </w:p>
    <w:p w:rsidR="00164E3B" w:rsidRDefault="00164E3B" w:rsidP="00EA1BD7">
      <w:pPr>
        <w:spacing w:after="35" w:line="360" w:lineRule="auto"/>
        <w:ind w:left="708" w:right="350" w:firstLine="0"/>
      </w:pPr>
    </w:p>
    <w:p w:rsidR="00164E3B" w:rsidRDefault="00164E3B" w:rsidP="00EA1BD7">
      <w:pPr>
        <w:spacing w:after="35" w:line="360" w:lineRule="auto"/>
        <w:ind w:left="708" w:right="350" w:firstLine="0"/>
      </w:pPr>
    </w:p>
    <w:p w:rsidR="00164E3B" w:rsidRDefault="00164E3B" w:rsidP="00EA1BD7">
      <w:pPr>
        <w:spacing w:after="35" w:line="360" w:lineRule="auto"/>
        <w:ind w:left="708" w:right="350" w:firstLine="0"/>
      </w:pPr>
    </w:p>
    <w:p w:rsidR="00EA1BD7" w:rsidRDefault="00EA1BD7" w:rsidP="00EA1BD7">
      <w:pPr>
        <w:spacing w:after="96" w:line="256" w:lineRule="auto"/>
        <w:ind w:right="350"/>
      </w:pPr>
      <w:r>
        <w:t xml:space="preserve">        3. Odpisy aktualizujące wartość aktywów trwałych  - nie występuje.</w:t>
      </w:r>
    </w:p>
    <w:p w:rsidR="00EA1BD7" w:rsidRDefault="00EA1BD7" w:rsidP="00EA1BD7">
      <w:pPr>
        <w:tabs>
          <w:tab w:val="left" w:pos="3885"/>
        </w:tabs>
        <w:spacing w:after="133"/>
        <w:ind w:left="0" w:firstLine="0"/>
        <w:jc w:val="left"/>
      </w:pPr>
    </w:p>
    <w:p w:rsidR="00EA1BD7" w:rsidRDefault="00EA1BD7" w:rsidP="00EA1BD7">
      <w:pPr>
        <w:ind w:left="0" w:right="350" w:firstLine="0"/>
      </w:pPr>
      <w:r>
        <w:t xml:space="preserve">    Tabela 3.  Odpisy aktualizujące wartość aktywów trwałych </w:t>
      </w:r>
    </w:p>
    <w:p w:rsidR="00EA1BD7" w:rsidRDefault="00EA1BD7" w:rsidP="00EA1BD7">
      <w:pPr>
        <w:spacing w:after="0"/>
        <w:ind w:left="283" w:firstLine="0"/>
        <w:jc w:val="left"/>
      </w:pPr>
      <w:r>
        <w:t xml:space="preserve"> </w:t>
      </w:r>
      <w:r w:rsidR="00164E3B" w:rsidRPr="00164E3B">
        <w:rPr>
          <w:noProof/>
        </w:rPr>
        <w:drawing>
          <wp:inline distT="0" distB="0" distL="0" distR="0">
            <wp:extent cx="6858000" cy="461061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0" cy="4610615"/>
                    </a:xfrm>
                    <a:prstGeom prst="rect">
                      <a:avLst/>
                    </a:prstGeom>
                    <a:noFill/>
                    <a:ln>
                      <a:noFill/>
                    </a:ln>
                  </pic:spPr>
                </pic:pic>
              </a:graphicData>
            </a:graphic>
          </wp:inline>
        </w:drawing>
      </w:r>
    </w:p>
    <w:p w:rsidR="008A622B" w:rsidRDefault="008A622B" w:rsidP="00AB2077">
      <w:pPr>
        <w:spacing w:after="98"/>
        <w:jc w:val="left"/>
      </w:pPr>
    </w:p>
    <w:p w:rsidR="00164E3B" w:rsidRDefault="00164E3B" w:rsidP="00AB2077">
      <w:pPr>
        <w:spacing w:after="98"/>
        <w:jc w:val="left"/>
      </w:pPr>
    </w:p>
    <w:p w:rsidR="00164E3B" w:rsidRDefault="00164E3B" w:rsidP="00AB2077">
      <w:pPr>
        <w:spacing w:after="98"/>
        <w:jc w:val="left"/>
      </w:pPr>
    </w:p>
    <w:p w:rsidR="00164E3B" w:rsidRDefault="00164E3B" w:rsidP="00AB2077">
      <w:pPr>
        <w:spacing w:after="98"/>
        <w:jc w:val="left"/>
      </w:pPr>
    </w:p>
    <w:p w:rsidR="00164E3B" w:rsidRDefault="00164E3B" w:rsidP="00AB2077">
      <w:pPr>
        <w:spacing w:after="98"/>
        <w:jc w:val="left"/>
      </w:pPr>
    </w:p>
    <w:p w:rsidR="00164E3B" w:rsidRDefault="00164E3B" w:rsidP="00AB2077">
      <w:pPr>
        <w:spacing w:after="98"/>
        <w:jc w:val="left"/>
      </w:pPr>
    </w:p>
    <w:p w:rsidR="00164E3B" w:rsidRDefault="00164E3B" w:rsidP="00AB2077">
      <w:pPr>
        <w:spacing w:after="98"/>
        <w:jc w:val="left"/>
      </w:pPr>
    </w:p>
    <w:p w:rsidR="00164E3B" w:rsidRDefault="00164E3B" w:rsidP="00AB2077">
      <w:pPr>
        <w:spacing w:after="98"/>
        <w:jc w:val="left"/>
      </w:pPr>
    </w:p>
    <w:p w:rsidR="00164E3B" w:rsidRDefault="00164E3B" w:rsidP="00AB2077">
      <w:pPr>
        <w:spacing w:after="98"/>
        <w:jc w:val="left"/>
      </w:pPr>
    </w:p>
    <w:p w:rsidR="00164E3B" w:rsidRDefault="00164E3B" w:rsidP="00AB2077">
      <w:pPr>
        <w:spacing w:after="98"/>
        <w:jc w:val="left"/>
      </w:pPr>
    </w:p>
    <w:p w:rsidR="00164E3B" w:rsidRDefault="00164E3B" w:rsidP="00AB2077">
      <w:pPr>
        <w:spacing w:after="98"/>
        <w:jc w:val="left"/>
      </w:pPr>
    </w:p>
    <w:p w:rsidR="00164E3B" w:rsidRDefault="00164E3B" w:rsidP="00AB2077">
      <w:pPr>
        <w:spacing w:after="98"/>
        <w:jc w:val="left"/>
      </w:pPr>
    </w:p>
    <w:p w:rsidR="00164E3B" w:rsidRDefault="00164E3B" w:rsidP="00AB2077">
      <w:pPr>
        <w:spacing w:after="98"/>
        <w:jc w:val="left"/>
      </w:pPr>
    </w:p>
    <w:p w:rsidR="00164E3B" w:rsidRDefault="00164E3B" w:rsidP="00AB2077">
      <w:pPr>
        <w:spacing w:after="98"/>
        <w:jc w:val="left"/>
      </w:pPr>
    </w:p>
    <w:p w:rsidR="00164E3B" w:rsidRDefault="00164E3B" w:rsidP="00AB2077">
      <w:pPr>
        <w:spacing w:after="98"/>
        <w:jc w:val="left"/>
      </w:pPr>
    </w:p>
    <w:p w:rsidR="00BE06DE" w:rsidRDefault="00EA1BD7" w:rsidP="00EA1BD7">
      <w:pPr>
        <w:spacing w:after="99"/>
        <w:ind w:right="350"/>
      </w:pPr>
      <w:r>
        <w:t>4.</w:t>
      </w:r>
      <w:r w:rsidR="006423CD">
        <w:t xml:space="preserve">Wartość gruntów użytkowanych wieczyście </w:t>
      </w:r>
      <w:r w:rsidR="00450DF2">
        <w:t>– nie występuje</w:t>
      </w:r>
    </w:p>
    <w:p w:rsidR="00BE06DE" w:rsidRDefault="00DC4903">
      <w:pPr>
        <w:spacing w:after="132"/>
        <w:ind w:left="708" w:firstLine="0"/>
        <w:jc w:val="left"/>
      </w:pPr>
      <w:r>
        <w:t>Tabela nr 4, Grunty użytkowane wieczyście</w:t>
      </w:r>
    </w:p>
    <w:p w:rsidR="00164E3B" w:rsidRDefault="00164E3B" w:rsidP="00164E3B">
      <w:pPr>
        <w:spacing w:after="132"/>
        <w:jc w:val="left"/>
      </w:pPr>
      <w:r w:rsidRPr="00164E3B">
        <w:rPr>
          <w:noProof/>
        </w:rPr>
        <w:drawing>
          <wp:inline distT="0" distB="0" distL="0" distR="0">
            <wp:extent cx="6858000" cy="3254236"/>
            <wp:effectExtent l="0" t="0" r="0" b="381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3254236"/>
                    </a:xfrm>
                    <a:prstGeom prst="rect">
                      <a:avLst/>
                    </a:prstGeom>
                    <a:noFill/>
                    <a:ln>
                      <a:noFill/>
                    </a:ln>
                  </pic:spPr>
                </pic:pic>
              </a:graphicData>
            </a:graphic>
          </wp:inline>
        </w:drawing>
      </w:r>
    </w:p>
    <w:p w:rsidR="008A622B" w:rsidRDefault="00EA1BD7" w:rsidP="00EA1BD7">
      <w:pPr>
        <w:spacing w:line="362" w:lineRule="auto"/>
        <w:ind w:right="350"/>
      </w:pPr>
      <w:r>
        <w:t>5.</w:t>
      </w:r>
      <w:r w:rsidR="006423CD">
        <w:t xml:space="preserve">Wartość nieamortyzowanych lub nieumarzanych przez jednostkę środków trwałych, używanych na podstawie umów najmu, dzierżawy i innych umów, w tym z tytułu umów leasingu </w:t>
      </w:r>
      <w:r w:rsidR="00450DF2">
        <w:t>– nie występuje</w:t>
      </w:r>
    </w:p>
    <w:p w:rsidR="008A622B" w:rsidRDefault="006423CD">
      <w:pPr>
        <w:spacing w:after="98"/>
        <w:ind w:left="720" w:firstLine="0"/>
        <w:jc w:val="left"/>
      </w:pPr>
      <w:r>
        <w:t xml:space="preserve"> </w:t>
      </w:r>
    </w:p>
    <w:p w:rsidR="00BE06DE" w:rsidRDefault="006423CD" w:rsidP="00EA1BD7">
      <w:pPr>
        <w:ind w:left="283" w:right="350" w:firstLine="0"/>
      </w:pPr>
      <w:r>
        <w:t xml:space="preserve">Tabela 5. Środki trwałe nieamortyzowane lub nieumarzane (ewidencjonowane pozabilansowo) używane na podstawie umów najmu, dzierżawy i </w:t>
      </w:r>
      <w:r w:rsidR="00AB2077">
        <w:t>innych, w tym z tytułu leasing</w:t>
      </w:r>
    </w:p>
    <w:p w:rsidR="00BE06DE" w:rsidRDefault="00164E3B" w:rsidP="00164E3B">
      <w:pPr>
        <w:spacing w:after="98"/>
        <w:jc w:val="left"/>
      </w:pPr>
      <w:r w:rsidRPr="00164E3B">
        <w:rPr>
          <w:noProof/>
        </w:rPr>
        <w:lastRenderedPageBreak/>
        <w:drawing>
          <wp:inline distT="0" distB="0" distL="0" distR="0">
            <wp:extent cx="6858000" cy="3645243"/>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0" cy="3645243"/>
                    </a:xfrm>
                    <a:prstGeom prst="rect">
                      <a:avLst/>
                    </a:prstGeom>
                    <a:noFill/>
                    <a:ln>
                      <a:noFill/>
                    </a:ln>
                  </pic:spPr>
                </pic:pic>
              </a:graphicData>
            </a:graphic>
          </wp:inline>
        </w:drawing>
      </w:r>
    </w:p>
    <w:p w:rsidR="008A622B" w:rsidRDefault="006423CD" w:rsidP="00AB2077">
      <w:pPr>
        <w:spacing w:after="0"/>
        <w:ind w:left="0" w:firstLine="0"/>
        <w:jc w:val="left"/>
      </w:pPr>
      <w:r>
        <w:t xml:space="preserve"> </w:t>
      </w:r>
    </w:p>
    <w:p w:rsidR="008A622B" w:rsidRDefault="00EA1BD7" w:rsidP="00EA1BD7">
      <w:pPr>
        <w:spacing w:line="399" w:lineRule="auto"/>
        <w:ind w:right="350"/>
      </w:pPr>
      <w:r>
        <w:t>6.</w:t>
      </w:r>
      <w:r w:rsidR="006423CD">
        <w:t xml:space="preserve">Liczba oraz wartość posiadanych papierów wartościowych, w tym akcji i udziałów oraz dłużnych papierów wartościowych </w:t>
      </w:r>
    </w:p>
    <w:p w:rsidR="00BE06DE" w:rsidRDefault="006423CD" w:rsidP="004030EE">
      <w:pPr>
        <w:spacing w:line="398" w:lineRule="auto"/>
        <w:ind w:left="718" w:right="350"/>
      </w:pPr>
      <w:r>
        <w:t xml:space="preserve">Tabela 6.  Liczba i wartość posiadanych papierów wartościowych, w tym akcji, udziałów i dłużnych papierów wartościowych </w:t>
      </w:r>
      <w:r w:rsidR="00450DF2">
        <w:t>– nie występuje</w:t>
      </w:r>
    </w:p>
    <w:p w:rsidR="00BE06DE" w:rsidRDefault="00164E3B" w:rsidP="00164E3B">
      <w:pPr>
        <w:spacing w:after="130"/>
        <w:jc w:val="left"/>
      </w:pPr>
      <w:r w:rsidRPr="00164E3B">
        <w:rPr>
          <w:noProof/>
        </w:rPr>
        <w:drawing>
          <wp:inline distT="0" distB="0" distL="0" distR="0">
            <wp:extent cx="6858000" cy="3861282"/>
            <wp:effectExtent l="0" t="0" r="0" b="635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0" cy="3861282"/>
                    </a:xfrm>
                    <a:prstGeom prst="rect">
                      <a:avLst/>
                    </a:prstGeom>
                    <a:noFill/>
                    <a:ln>
                      <a:noFill/>
                    </a:ln>
                  </pic:spPr>
                </pic:pic>
              </a:graphicData>
            </a:graphic>
          </wp:inline>
        </w:drawing>
      </w:r>
    </w:p>
    <w:p w:rsidR="008A622B" w:rsidRDefault="00EA1BD7" w:rsidP="00EA1BD7">
      <w:pPr>
        <w:spacing w:after="96"/>
        <w:ind w:right="350"/>
      </w:pPr>
      <w:r>
        <w:lastRenderedPageBreak/>
        <w:t>7.</w:t>
      </w:r>
      <w:r w:rsidR="006423CD">
        <w:t xml:space="preserve">Informacja o odpisach aktualizujących wartości należności </w:t>
      </w:r>
    </w:p>
    <w:p w:rsidR="008A622B" w:rsidRDefault="006423CD">
      <w:pPr>
        <w:spacing w:after="133"/>
        <w:ind w:left="720" w:firstLine="0"/>
        <w:jc w:val="left"/>
      </w:pPr>
      <w:r>
        <w:t xml:space="preserve"> </w:t>
      </w:r>
    </w:p>
    <w:p w:rsidR="00BE06DE" w:rsidRDefault="006423CD" w:rsidP="00EA1BD7">
      <w:pPr>
        <w:ind w:left="293" w:right="350"/>
      </w:pPr>
      <w:r>
        <w:t xml:space="preserve">Tabela 7.  Informacja o odpisach aktualizujących wartości należności </w:t>
      </w:r>
    </w:p>
    <w:p w:rsidR="008A622B" w:rsidRDefault="006423CD" w:rsidP="00164E3B">
      <w:pPr>
        <w:spacing w:after="131"/>
        <w:jc w:val="left"/>
      </w:pPr>
      <w:r>
        <w:t xml:space="preserve"> </w:t>
      </w:r>
      <w:r w:rsidR="00164E3B" w:rsidRPr="00164E3B">
        <w:rPr>
          <w:noProof/>
        </w:rPr>
        <w:drawing>
          <wp:inline distT="0" distB="0" distL="0" distR="0">
            <wp:extent cx="6858000" cy="3045108"/>
            <wp:effectExtent l="0" t="0" r="0" b="317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0" cy="3045108"/>
                    </a:xfrm>
                    <a:prstGeom prst="rect">
                      <a:avLst/>
                    </a:prstGeom>
                    <a:noFill/>
                    <a:ln>
                      <a:noFill/>
                    </a:ln>
                  </pic:spPr>
                </pic:pic>
              </a:graphicData>
            </a:graphic>
          </wp:inline>
        </w:drawing>
      </w:r>
    </w:p>
    <w:p w:rsidR="008A622B" w:rsidRDefault="00EA1BD7" w:rsidP="00EA1BD7">
      <w:pPr>
        <w:spacing w:after="98"/>
        <w:ind w:right="350"/>
      </w:pPr>
      <w:r>
        <w:t>8.</w:t>
      </w:r>
      <w:r w:rsidR="006423CD">
        <w:t xml:space="preserve">Stan rezerw według celu ich utworzenia </w:t>
      </w:r>
      <w:r w:rsidR="00DC380D">
        <w:t>–nie występuje</w:t>
      </w:r>
    </w:p>
    <w:p w:rsidR="008A622B" w:rsidRDefault="006423CD">
      <w:pPr>
        <w:spacing w:after="96"/>
        <w:ind w:left="720" w:firstLine="0"/>
        <w:jc w:val="left"/>
      </w:pPr>
      <w:r>
        <w:t xml:space="preserve"> </w:t>
      </w:r>
    </w:p>
    <w:p w:rsidR="008A622B" w:rsidRDefault="006423CD" w:rsidP="00AB2077">
      <w:pPr>
        <w:ind w:left="576" w:right="350"/>
      </w:pPr>
      <w:r>
        <w:t xml:space="preserve"> Tabela 8.  Informacja o stanie rezerw </w:t>
      </w:r>
      <w:r w:rsidR="00AB2077">
        <w:t xml:space="preserve"> </w:t>
      </w:r>
      <w:r w:rsidR="00AB2077">
        <w:tab/>
        <w:t xml:space="preserve"> </w:t>
      </w:r>
      <w:r w:rsidR="00AB2077">
        <w:tab/>
        <w:t xml:space="preserve"> </w:t>
      </w:r>
      <w:r w:rsidR="00AB2077">
        <w:tab/>
        <w:t xml:space="preserve"> </w:t>
      </w:r>
      <w:r w:rsidR="00AB2077">
        <w:tab/>
      </w:r>
      <w:r>
        <w:tab/>
        <w:t xml:space="preserve"> </w:t>
      </w:r>
      <w:r>
        <w:tab/>
        <w:t xml:space="preserve"> </w:t>
      </w:r>
    </w:p>
    <w:p w:rsidR="008A622B" w:rsidRDefault="00164E3B" w:rsidP="00164E3B">
      <w:pPr>
        <w:spacing w:after="126"/>
        <w:jc w:val="left"/>
      </w:pPr>
      <w:r w:rsidRPr="00164E3B">
        <w:rPr>
          <w:noProof/>
        </w:rPr>
        <w:drawing>
          <wp:inline distT="0" distB="0" distL="0" distR="0">
            <wp:extent cx="6858000" cy="2355404"/>
            <wp:effectExtent l="0" t="0" r="0" b="698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000" cy="2355404"/>
                    </a:xfrm>
                    <a:prstGeom prst="rect">
                      <a:avLst/>
                    </a:prstGeom>
                    <a:noFill/>
                    <a:ln>
                      <a:noFill/>
                    </a:ln>
                  </pic:spPr>
                </pic:pic>
              </a:graphicData>
            </a:graphic>
          </wp:inline>
        </w:drawing>
      </w:r>
    </w:p>
    <w:p w:rsidR="008A622B" w:rsidRDefault="00EA1BD7" w:rsidP="00EA1BD7">
      <w:pPr>
        <w:spacing w:after="98"/>
        <w:ind w:right="350"/>
      </w:pPr>
      <w:r>
        <w:t>9.</w:t>
      </w:r>
      <w:r w:rsidR="006423CD">
        <w:t xml:space="preserve">Zobowiązania długoterminowe </w:t>
      </w:r>
      <w:r w:rsidR="00DC380D">
        <w:t>– nie występują</w:t>
      </w:r>
    </w:p>
    <w:p w:rsidR="008A622B" w:rsidRDefault="006423CD" w:rsidP="00EA1BD7">
      <w:pPr>
        <w:spacing w:after="130"/>
        <w:ind w:left="720" w:firstLine="0"/>
        <w:jc w:val="left"/>
      </w:pPr>
      <w:r>
        <w:t xml:space="preserve"> Tabela 9.  Zobowiązania długoterminowe - pozostały okres spłaty </w:t>
      </w:r>
    </w:p>
    <w:p w:rsidR="008A622B" w:rsidRDefault="006423CD">
      <w:pPr>
        <w:spacing w:after="98"/>
        <w:ind w:left="0" w:firstLine="0"/>
        <w:jc w:val="left"/>
      </w:pPr>
      <w:r>
        <w:lastRenderedPageBreak/>
        <w:t xml:space="preserve"> </w:t>
      </w:r>
      <w:r w:rsidR="00164E3B" w:rsidRPr="00164E3B">
        <w:rPr>
          <w:noProof/>
        </w:rPr>
        <w:drawing>
          <wp:inline distT="0" distB="0" distL="0" distR="0">
            <wp:extent cx="6858000" cy="2826774"/>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0" cy="2826774"/>
                    </a:xfrm>
                    <a:prstGeom prst="rect">
                      <a:avLst/>
                    </a:prstGeom>
                    <a:noFill/>
                    <a:ln>
                      <a:noFill/>
                    </a:ln>
                  </pic:spPr>
                </pic:pic>
              </a:graphicData>
            </a:graphic>
          </wp:inline>
        </w:drawing>
      </w:r>
    </w:p>
    <w:p w:rsidR="008A622B" w:rsidRDefault="006423CD">
      <w:pPr>
        <w:spacing w:after="124"/>
        <w:ind w:left="283" w:firstLine="0"/>
        <w:jc w:val="left"/>
      </w:pPr>
      <w:r>
        <w:t xml:space="preserve"> </w:t>
      </w:r>
    </w:p>
    <w:p w:rsidR="008A622B" w:rsidRDefault="00EA1BD7" w:rsidP="00EA1BD7">
      <w:pPr>
        <w:spacing w:after="104"/>
        <w:ind w:right="350"/>
      </w:pPr>
      <w:r>
        <w:t>10.</w:t>
      </w:r>
      <w:r w:rsidR="006423CD">
        <w:t>Zobowiązania wynikające z z</w:t>
      </w:r>
      <w:r w:rsidR="00DC380D">
        <w:t>awartych umów leasingu 0,00</w:t>
      </w:r>
      <w:r w:rsidR="006423CD">
        <w:t xml:space="preserve"> zł; w tym </w:t>
      </w:r>
    </w:p>
    <w:p w:rsidR="008A622B" w:rsidRDefault="006423CD">
      <w:pPr>
        <w:spacing w:after="129"/>
        <w:ind w:left="730" w:right="350"/>
      </w:pPr>
      <w:r>
        <w:t xml:space="preserve">(kwalifikowane zgodnie z przepisami podatkowymi) do umów: </w:t>
      </w:r>
    </w:p>
    <w:p w:rsidR="008A622B" w:rsidRDefault="006423CD">
      <w:pPr>
        <w:numPr>
          <w:ilvl w:val="1"/>
          <w:numId w:val="5"/>
        </w:numPr>
        <w:spacing w:after="118"/>
        <w:ind w:right="350" w:hanging="125"/>
      </w:pPr>
      <w:r>
        <w:t>z tytułu leas</w:t>
      </w:r>
      <w:r w:rsidR="00DC380D">
        <w:t>ingu finansowego 0,00</w:t>
      </w:r>
      <w:r>
        <w:t xml:space="preserve">zł; </w:t>
      </w:r>
    </w:p>
    <w:p w:rsidR="008A622B" w:rsidRDefault="006423CD">
      <w:pPr>
        <w:numPr>
          <w:ilvl w:val="1"/>
          <w:numId w:val="5"/>
        </w:numPr>
        <w:spacing w:after="98"/>
        <w:ind w:right="350" w:hanging="125"/>
      </w:pPr>
      <w:r>
        <w:t>z tytu</w:t>
      </w:r>
      <w:r w:rsidR="00DC380D">
        <w:t>łu leasingu zwrotnego 0,00</w:t>
      </w:r>
      <w:r>
        <w:t xml:space="preserve">zł. </w:t>
      </w:r>
    </w:p>
    <w:p w:rsidR="00164E3B" w:rsidRDefault="00164E3B">
      <w:pPr>
        <w:spacing w:after="96"/>
        <w:ind w:left="720" w:firstLine="0"/>
        <w:jc w:val="left"/>
      </w:pPr>
    </w:p>
    <w:p w:rsidR="00164E3B" w:rsidRDefault="00164E3B">
      <w:pPr>
        <w:spacing w:after="96"/>
        <w:ind w:left="720" w:firstLine="0"/>
        <w:jc w:val="left"/>
      </w:pPr>
    </w:p>
    <w:p w:rsidR="00164E3B" w:rsidRDefault="00164E3B">
      <w:pPr>
        <w:spacing w:after="96"/>
        <w:ind w:left="720" w:firstLine="0"/>
        <w:jc w:val="left"/>
      </w:pPr>
    </w:p>
    <w:p w:rsidR="00164E3B" w:rsidRDefault="00164E3B">
      <w:pPr>
        <w:spacing w:after="96"/>
        <w:ind w:left="720" w:firstLine="0"/>
        <w:jc w:val="left"/>
      </w:pPr>
    </w:p>
    <w:p w:rsidR="008A622B" w:rsidRDefault="006423CD">
      <w:pPr>
        <w:spacing w:after="96"/>
        <w:ind w:left="720" w:firstLine="0"/>
        <w:jc w:val="left"/>
      </w:pPr>
      <w:r>
        <w:t xml:space="preserve"> </w:t>
      </w:r>
    </w:p>
    <w:p w:rsidR="008A622B" w:rsidRDefault="00EA1BD7" w:rsidP="00EA1BD7">
      <w:pPr>
        <w:spacing w:after="133"/>
        <w:ind w:right="350"/>
      </w:pPr>
      <w:r>
        <w:t xml:space="preserve">   </w:t>
      </w:r>
      <w:r w:rsidR="00164E3B">
        <w:t xml:space="preserve">11. </w:t>
      </w:r>
      <w:r>
        <w:t xml:space="preserve"> </w:t>
      </w:r>
      <w:r w:rsidR="006423CD">
        <w:t xml:space="preserve">Zobowiązania zabezpieczone na majątku jednostki </w:t>
      </w:r>
      <w:r w:rsidR="00DC380D">
        <w:t>– nie występują</w:t>
      </w:r>
    </w:p>
    <w:p w:rsidR="008A622B" w:rsidRDefault="006423CD">
      <w:pPr>
        <w:ind w:left="293" w:right="350"/>
      </w:pPr>
      <w:r>
        <w:t xml:space="preserve">Tabela 10. Zobowiązania zabezpieczone na majątku jednostki  </w:t>
      </w:r>
    </w:p>
    <w:p w:rsidR="00164E3B" w:rsidRDefault="00164E3B" w:rsidP="00164E3B">
      <w:pPr>
        <w:ind w:right="350"/>
      </w:pPr>
      <w:r w:rsidRPr="00164E3B">
        <w:rPr>
          <w:noProof/>
        </w:rPr>
        <w:lastRenderedPageBreak/>
        <w:drawing>
          <wp:inline distT="0" distB="0" distL="0" distR="0">
            <wp:extent cx="6858000" cy="3456621"/>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8000" cy="3456621"/>
                    </a:xfrm>
                    <a:prstGeom prst="rect">
                      <a:avLst/>
                    </a:prstGeom>
                    <a:noFill/>
                    <a:ln>
                      <a:noFill/>
                    </a:ln>
                  </pic:spPr>
                </pic:pic>
              </a:graphicData>
            </a:graphic>
          </wp:inline>
        </w:drawing>
      </w:r>
    </w:p>
    <w:p w:rsidR="008A622B" w:rsidRDefault="006423CD" w:rsidP="00194CDD">
      <w:pPr>
        <w:spacing w:after="105"/>
        <w:ind w:left="283" w:firstLine="0"/>
        <w:jc w:val="left"/>
      </w:pPr>
      <w:r>
        <w:t xml:space="preserve"> </w:t>
      </w:r>
      <w:r>
        <w:tab/>
        <w:t xml:space="preserve"> </w:t>
      </w:r>
      <w:r>
        <w:tab/>
        <w:t xml:space="preserve"> </w:t>
      </w:r>
      <w:r>
        <w:tab/>
        <w:t xml:space="preserve"> </w:t>
      </w:r>
      <w:r>
        <w:tab/>
        <w:t xml:space="preserve">  </w:t>
      </w:r>
    </w:p>
    <w:p w:rsidR="008A622B" w:rsidRDefault="00164E3B" w:rsidP="00EA1BD7">
      <w:pPr>
        <w:spacing w:after="131"/>
        <w:ind w:right="350"/>
      </w:pPr>
      <w:r>
        <w:t>12</w:t>
      </w:r>
      <w:r w:rsidR="00EA1BD7">
        <w:t>.</w:t>
      </w:r>
      <w:r w:rsidR="006423CD">
        <w:t xml:space="preserve">Zobowiązania warunkowe w tym: udzielone poręczenia i gwarancje </w:t>
      </w:r>
      <w:r w:rsidR="0066759B">
        <w:t>– nie występują</w:t>
      </w:r>
    </w:p>
    <w:p w:rsidR="008A622B" w:rsidRDefault="006423CD">
      <w:pPr>
        <w:spacing w:after="92"/>
        <w:ind w:left="293" w:right="350"/>
      </w:pPr>
      <w:r>
        <w:t xml:space="preserve">Tabela 11. Zobowiązania warunkowe (w tym: udzielone poręczenia i gwarancje) </w:t>
      </w:r>
    </w:p>
    <w:p w:rsidR="00164E3B" w:rsidRDefault="00164E3B" w:rsidP="00164E3B">
      <w:pPr>
        <w:spacing w:after="92"/>
        <w:ind w:right="350"/>
      </w:pPr>
      <w:r w:rsidRPr="00164E3B">
        <w:rPr>
          <w:noProof/>
        </w:rPr>
        <w:drawing>
          <wp:inline distT="0" distB="0" distL="0" distR="0">
            <wp:extent cx="6858000" cy="3456621"/>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58000" cy="3456621"/>
                    </a:xfrm>
                    <a:prstGeom prst="rect">
                      <a:avLst/>
                    </a:prstGeom>
                    <a:noFill/>
                    <a:ln>
                      <a:noFill/>
                    </a:ln>
                  </pic:spPr>
                </pic:pic>
              </a:graphicData>
            </a:graphic>
          </wp:inline>
        </w:drawing>
      </w:r>
    </w:p>
    <w:p w:rsidR="008A622B" w:rsidRDefault="008A622B" w:rsidP="00194CDD">
      <w:pPr>
        <w:spacing w:after="98"/>
        <w:ind w:left="0" w:firstLine="0"/>
        <w:jc w:val="left"/>
      </w:pPr>
    </w:p>
    <w:p w:rsidR="00DC380D" w:rsidRDefault="00EA1BD7" w:rsidP="00EA1BD7">
      <w:pPr>
        <w:spacing w:line="381" w:lineRule="auto"/>
        <w:ind w:right="350"/>
      </w:pPr>
      <w:r>
        <w:t>1</w:t>
      </w:r>
      <w:r w:rsidR="00164E3B">
        <w:t>3</w:t>
      </w:r>
      <w:r>
        <w:t>.</w:t>
      </w:r>
      <w:r w:rsidR="006423CD">
        <w:t xml:space="preserve">Istotne pozycje czynnych i biernych rozliczeń międzyokresowych w tym: wartość czynnych rozliczeń międzyokresowych kosztów stanowiących różnicę między wartością otrzymanych finansowych składników aktywów a zobowiązaniem zapłaty za nie </w:t>
      </w:r>
      <w:r w:rsidR="004030EE">
        <w:t>– nie występują</w:t>
      </w:r>
    </w:p>
    <w:p w:rsidR="00DC380D" w:rsidRDefault="00DC380D" w:rsidP="004030EE">
      <w:pPr>
        <w:spacing w:after="98"/>
        <w:ind w:left="0" w:right="350" w:firstLine="0"/>
      </w:pPr>
    </w:p>
    <w:p w:rsidR="008A622B" w:rsidRDefault="006423CD">
      <w:pPr>
        <w:spacing w:after="98"/>
        <w:ind w:left="293" w:right="350"/>
      </w:pPr>
      <w:r>
        <w:lastRenderedPageBreak/>
        <w:t xml:space="preserve">Tabela 12. Czynne i bierne rozliczenia międzyokresowe </w:t>
      </w:r>
      <w:r w:rsidR="004030EE">
        <w:t>– nie występują</w:t>
      </w:r>
    </w:p>
    <w:p w:rsidR="006A1F2D" w:rsidRDefault="006A1F2D" w:rsidP="006A1F2D">
      <w:pPr>
        <w:spacing w:after="98"/>
        <w:ind w:right="350"/>
      </w:pPr>
      <w:r w:rsidRPr="006A1F2D">
        <w:rPr>
          <w:noProof/>
        </w:rPr>
        <w:drawing>
          <wp:inline distT="0" distB="0" distL="0" distR="0">
            <wp:extent cx="6858000" cy="2838248"/>
            <wp:effectExtent l="0" t="0" r="0" b="63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58000" cy="2838248"/>
                    </a:xfrm>
                    <a:prstGeom prst="rect">
                      <a:avLst/>
                    </a:prstGeom>
                    <a:noFill/>
                    <a:ln>
                      <a:noFill/>
                    </a:ln>
                  </pic:spPr>
                </pic:pic>
              </a:graphicData>
            </a:graphic>
          </wp:inline>
        </w:drawing>
      </w:r>
    </w:p>
    <w:p w:rsidR="00DC380D" w:rsidRDefault="006423CD" w:rsidP="00194CDD">
      <w:pPr>
        <w:spacing w:after="0"/>
        <w:ind w:left="283" w:firstLine="0"/>
        <w:jc w:val="left"/>
      </w:pPr>
      <w:r>
        <w:t xml:space="preserve"> </w:t>
      </w:r>
    </w:p>
    <w:p w:rsidR="00DC380D" w:rsidRDefault="00DC380D" w:rsidP="00DC380D">
      <w:pPr>
        <w:spacing w:after="78"/>
        <w:ind w:left="284" w:firstLine="0"/>
        <w:jc w:val="left"/>
      </w:pPr>
    </w:p>
    <w:p w:rsidR="008A622B" w:rsidRDefault="00A92070" w:rsidP="006A1F2D">
      <w:pPr>
        <w:spacing w:after="98"/>
        <w:ind w:right="350"/>
      </w:pPr>
      <w:r>
        <w:t>1</w:t>
      </w:r>
      <w:r w:rsidR="006A1F2D">
        <w:t>4</w:t>
      </w:r>
      <w:r>
        <w:t>.</w:t>
      </w:r>
      <w:r w:rsidR="006423CD">
        <w:t xml:space="preserve">Otrzymane przez jednostkę gwarancje i poręczenia niewykazane w bilansie </w:t>
      </w:r>
      <w:r w:rsidR="00DC380D">
        <w:t>– nie występują</w:t>
      </w:r>
      <w:r w:rsidR="006423CD">
        <w:t xml:space="preserve"> </w:t>
      </w:r>
    </w:p>
    <w:p w:rsidR="008A622B" w:rsidRDefault="006423CD">
      <w:pPr>
        <w:ind w:left="293" w:right="350"/>
      </w:pPr>
      <w:r>
        <w:t xml:space="preserve">Tabela 13. Należności warunkowe (w tym: otrzymane poręczenia i gwarancje) </w:t>
      </w:r>
    </w:p>
    <w:p w:rsidR="006A1F2D" w:rsidRDefault="006A1F2D" w:rsidP="006A1F2D">
      <w:pPr>
        <w:ind w:right="350"/>
      </w:pPr>
      <w:r w:rsidRPr="006A1F2D">
        <w:rPr>
          <w:noProof/>
        </w:rPr>
        <w:drawing>
          <wp:inline distT="0" distB="0" distL="0" distR="0">
            <wp:extent cx="6858000" cy="3885904"/>
            <wp:effectExtent l="0" t="0" r="0" b="63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58000" cy="3885904"/>
                    </a:xfrm>
                    <a:prstGeom prst="rect">
                      <a:avLst/>
                    </a:prstGeom>
                    <a:noFill/>
                    <a:ln>
                      <a:noFill/>
                    </a:ln>
                  </pic:spPr>
                </pic:pic>
              </a:graphicData>
            </a:graphic>
          </wp:inline>
        </w:drawing>
      </w:r>
    </w:p>
    <w:p w:rsidR="008A622B" w:rsidRDefault="008A622B">
      <w:pPr>
        <w:spacing w:after="0"/>
        <w:ind w:left="708" w:firstLine="0"/>
        <w:jc w:val="left"/>
      </w:pPr>
    </w:p>
    <w:p w:rsidR="008A622B" w:rsidRDefault="006423CD">
      <w:pPr>
        <w:spacing w:after="131"/>
        <w:ind w:left="708" w:firstLine="0"/>
        <w:jc w:val="left"/>
      </w:pPr>
      <w:r>
        <w:t xml:space="preserve"> </w:t>
      </w:r>
    </w:p>
    <w:p w:rsidR="008A622B" w:rsidRDefault="006A1F2D" w:rsidP="00A92070">
      <w:pPr>
        <w:spacing w:after="98"/>
        <w:ind w:right="350"/>
      </w:pPr>
      <w:r>
        <w:t>15</w:t>
      </w:r>
      <w:r w:rsidR="00A92070">
        <w:t>.</w:t>
      </w:r>
      <w:r w:rsidR="006423CD">
        <w:t xml:space="preserve">Kwotę wypłaconych środków pieniężnych na świadczenia pracownicze </w:t>
      </w:r>
    </w:p>
    <w:p w:rsidR="008A622B" w:rsidRDefault="006423CD" w:rsidP="00194CDD">
      <w:pPr>
        <w:spacing w:after="133"/>
        <w:ind w:left="720" w:firstLine="0"/>
        <w:jc w:val="left"/>
      </w:pPr>
      <w:r>
        <w:t xml:space="preserve"> Tabela 14. Wypłacone środki na świadczenia pracownicze </w:t>
      </w:r>
    </w:p>
    <w:p w:rsidR="006A1F2D" w:rsidRDefault="006A1F2D" w:rsidP="006A1F2D">
      <w:pPr>
        <w:spacing w:after="133"/>
        <w:jc w:val="left"/>
      </w:pPr>
      <w:r w:rsidRPr="006A1F2D">
        <w:rPr>
          <w:noProof/>
        </w:rPr>
        <w:lastRenderedPageBreak/>
        <w:drawing>
          <wp:inline distT="0" distB="0" distL="0" distR="0">
            <wp:extent cx="6858000" cy="1887742"/>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58000" cy="1887742"/>
                    </a:xfrm>
                    <a:prstGeom prst="rect">
                      <a:avLst/>
                    </a:prstGeom>
                    <a:noFill/>
                    <a:ln>
                      <a:noFill/>
                    </a:ln>
                  </pic:spPr>
                </pic:pic>
              </a:graphicData>
            </a:graphic>
          </wp:inline>
        </w:drawing>
      </w:r>
    </w:p>
    <w:p w:rsidR="008A622B" w:rsidRDefault="006423CD">
      <w:pPr>
        <w:spacing w:after="98"/>
        <w:ind w:left="720" w:firstLine="0"/>
        <w:jc w:val="left"/>
      </w:pPr>
      <w:r>
        <w:t xml:space="preserve"> </w:t>
      </w:r>
    </w:p>
    <w:p w:rsidR="008A622B" w:rsidRDefault="006423CD">
      <w:pPr>
        <w:spacing w:after="96"/>
        <w:ind w:left="720" w:firstLine="0"/>
        <w:jc w:val="left"/>
      </w:pPr>
      <w:r>
        <w:t xml:space="preserve"> </w:t>
      </w:r>
    </w:p>
    <w:p w:rsidR="008A622B" w:rsidRDefault="006423CD">
      <w:pPr>
        <w:spacing w:after="98"/>
        <w:ind w:left="720" w:firstLine="0"/>
        <w:jc w:val="left"/>
      </w:pPr>
      <w:r>
        <w:t xml:space="preserve"> </w:t>
      </w:r>
    </w:p>
    <w:p w:rsidR="008A622B" w:rsidRDefault="006A1F2D" w:rsidP="00A92070">
      <w:pPr>
        <w:spacing w:after="133"/>
        <w:ind w:right="350"/>
      </w:pPr>
      <w:r>
        <w:t>16</w:t>
      </w:r>
      <w:r w:rsidR="00A92070">
        <w:t>.</w:t>
      </w:r>
      <w:r w:rsidR="006423CD">
        <w:t xml:space="preserve">Inne istotne informacje </w:t>
      </w:r>
    </w:p>
    <w:p w:rsidR="008A622B" w:rsidRDefault="006A1F2D" w:rsidP="006A1F2D">
      <w:pPr>
        <w:spacing w:after="98"/>
        <w:ind w:right="350"/>
      </w:pPr>
      <w:r>
        <w:t xml:space="preserve">       </w:t>
      </w:r>
      <w:r w:rsidR="004030EE">
        <w:t xml:space="preserve">   Nie wystąpiły</w:t>
      </w:r>
      <w:r w:rsidR="006423CD">
        <w:t xml:space="preserve"> </w:t>
      </w:r>
    </w:p>
    <w:p w:rsidR="008A622B" w:rsidRDefault="006423CD">
      <w:pPr>
        <w:spacing w:after="129"/>
        <w:ind w:left="708" w:firstLine="0"/>
        <w:jc w:val="left"/>
      </w:pPr>
      <w:r>
        <w:t xml:space="preserve"> </w:t>
      </w:r>
    </w:p>
    <w:p w:rsidR="008A622B" w:rsidRDefault="006A1F2D" w:rsidP="00A92070">
      <w:pPr>
        <w:spacing w:after="131"/>
        <w:ind w:right="350"/>
      </w:pPr>
      <w:r>
        <w:t>17</w:t>
      </w:r>
      <w:r w:rsidR="00A92070">
        <w:t>.</w:t>
      </w:r>
      <w:r w:rsidR="006423CD">
        <w:t xml:space="preserve">Wysokość odpisów aktualizujących wartość zapasów </w:t>
      </w:r>
      <w:r w:rsidR="004030EE">
        <w:t xml:space="preserve"> - nie wystąpiły</w:t>
      </w:r>
    </w:p>
    <w:p w:rsidR="008A622B" w:rsidRDefault="006423CD">
      <w:pPr>
        <w:spacing w:after="99"/>
        <w:ind w:left="293" w:right="350"/>
      </w:pPr>
      <w:r>
        <w:t xml:space="preserve">Tabela 15.  Odpisy aktualizujące wartość zapasów </w:t>
      </w:r>
    </w:p>
    <w:p w:rsidR="006A1F2D" w:rsidRDefault="006A1F2D" w:rsidP="006A1F2D">
      <w:pPr>
        <w:spacing w:after="99"/>
        <w:ind w:right="350"/>
      </w:pPr>
      <w:r w:rsidRPr="006A1F2D">
        <w:rPr>
          <w:noProof/>
        </w:rPr>
        <w:drawing>
          <wp:inline distT="0" distB="0" distL="0" distR="0">
            <wp:extent cx="6858000" cy="2355404"/>
            <wp:effectExtent l="0" t="0" r="0" b="698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58000" cy="2355404"/>
                    </a:xfrm>
                    <a:prstGeom prst="rect">
                      <a:avLst/>
                    </a:prstGeom>
                    <a:noFill/>
                    <a:ln>
                      <a:noFill/>
                    </a:ln>
                  </pic:spPr>
                </pic:pic>
              </a:graphicData>
            </a:graphic>
          </wp:inline>
        </w:drawing>
      </w:r>
    </w:p>
    <w:p w:rsidR="008A622B" w:rsidRDefault="006423CD" w:rsidP="004030EE">
      <w:pPr>
        <w:spacing w:after="0"/>
        <w:ind w:left="0" w:firstLine="0"/>
        <w:jc w:val="left"/>
      </w:pPr>
      <w:r>
        <w:t xml:space="preserve"> </w:t>
      </w:r>
    </w:p>
    <w:p w:rsidR="008A622B" w:rsidRDefault="006423CD">
      <w:pPr>
        <w:spacing w:after="96"/>
        <w:ind w:left="708" w:firstLine="0"/>
        <w:jc w:val="left"/>
      </w:pPr>
      <w:r>
        <w:t xml:space="preserve"> </w:t>
      </w:r>
    </w:p>
    <w:p w:rsidR="006A1F2D" w:rsidRDefault="006A1F2D">
      <w:pPr>
        <w:spacing w:after="96"/>
        <w:ind w:left="708" w:firstLine="0"/>
        <w:jc w:val="left"/>
      </w:pPr>
    </w:p>
    <w:p w:rsidR="006A1F2D" w:rsidRDefault="006A1F2D">
      <w:pPr>
        <w:spacing w:after="96"/>
        <w:ind w:left="708" w:firstLine="0"/>
        <w:jc w:val="left"/>
      </w:pPr>
    </w:p>
    <w:p w:rsidR="006A1F2D" w:rsidRDefault="006A1F2D">
      <w:pPr>
        <w:spacing w:after="96"/>
        <w:ind w:left="708" w:firstLine="0"/>
        <w:jc w:val="left"/>
      </w:pPr>
    </w:p>
    <w:p w:rsidR="006A1F2D" w:rsidRDefault="006A1F2D">
      <w:pPr>
        <w:spacing w:after="96"/>
        <w:ind w:left="708" w:firstLine="0"/>
        <w:jc w:val="left"/>
      </w:pPr>
    </w:p>
    <w:p w:rsidR="008A622B" w:rsidRDefault="006423CD">
      <w:pPr>
        <w:spacing w:after="0"/>
        <w:ind w:left="708" w:firstLine="0"/>
        <w:jc w:val="left"/>
      </w:pPr>
      <w:r>
        <w:t xml:space="preserve"> </w:t>
      </w:r>
    </w:p>
    <w:p w:rsidR="008A622B" w:rsidRDefault="00A92070" w:rsidP="00A92070">
      <w:pPr>
        <w:spacing w:line="399" w:lineRule="auto"/>
        <w:ind w:right="350"/>
      </w:pPr>
      <w:r>
        <w:t>1</w:t>
      </w:r>
      <w:r w:rsidR="006A1F2D">
        <w:t>8</w:t>
      </w:r>
      <w:r>
        <w:t>.</w:t>
      </w:r>
      <w:r w:rsidR="006423CD">
        <w:t xml:space="preserve">Koszt wytworzenia środków trwałych w budowie, w tym odsetki oraz różnice kursowe, które powiększyły koszt wytworzenia środków trwałych w budowie w roku obrotowym </w:t>
      </w:r>
      <w:r w:rsidR="00DC380D">
        <w:t>–nie występuje</w:t>
      </w:r>
    </w:p>
    <w:p w:rsidR="008A622B" w:rsidRDefault="006423CD">
      <w:pPr>
        <w:spacing w:after="133"/>
        <w:ind w:left="720" w:firstLine="0"/>
        <w:jc w:val="left"/>
      </w:pPr>
      <w:r>
        <w:t xml:space="preserve"> </w:t>
      </w:r>
    </w:p>
    <w:p w:rsidR="008A622B" w:rsidRDefault="006423CD">
      <w:pPr>
        <w:ind w:left="293" w:right="350"/>
      </w:pPr>
      <w:r>
        <w:t xml:space="preserve">Tabela 16.  Koszt wytworzenia środków trwałych w budowie </w:t>
      </w:r>
      <w:r w:rsidR="00194CDD">
        <w:t>– nie wystąpiły</w:t>
      </w:r>
    </w:p>
    <w:p w:rsidR="008A622B" w:rsidRDefault="006423CD" w:rsidP="00194CDD">
      <w:pPr>
        <w:spacing w:after="98"/>
        <w:ind w:left="283" w:firstLine="0"/>
        <w:jc w:val="left"/>
      </w:pPr>
      <w:r>
        <w:t xml:space="preserve">  </w:t>
      </w:r>
    </w:p>
    <w:p w:rsidR="008A622B" w:rsidRDefault="006423CD" w:rsidP="006A1F2D">
      <w:pPr>
        <w:spacing w:after="127"/>
        <w:jc w:val="left"/>
      </w:pPr>
      <w:r>
        <w:lastRenderedPageBreak/>
        <w:t xml:space="preserve"> </w:t>
      </w:r>
      <w:r w:rsidR="006A1F2D" w:rsidRPr="006A1F2D">
        <w:rPr>
          <w:noProof/>
        </w:rPr>
        <w:drawing>
          <wp:inline distT="0" distB="0" distL="0" distR="0">
            <wp:extent cx="6858000" cy="2877619"/>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58000" cy="2877619"/>
                    </a:xfrm>
                    <a:prstGeom prst="rect">
                      <a:avLst/>
                    </a:prstGeom>
                    <a:noFill/>
                    <a:ln>
                      <a:noFill/>
                    </a:ln>
                  </pic:spPr>
                </pic:pic>
              </a:graphicData>
            </a:graphic>
          </wp:inline>
        </w:drawing>
      </w:r>
    </w:p>
    <w:p w:rsidR="00B82359" w:rsidRDefault="00B82359" w:rsidP="00A92070">
      <w:pPr>
        <w:spacing w:line="398" w:lineRule="auto"/>
        <w:ind w:right="350"/>
      </w:pPr>
    </w:p>
    <w:p w:rsidR="00B82359" w:rsidRDefault="00B82359" w:rsidP="00A92070">
      <w:pPr>
        <w:spacing w:line="398" w:lineRule="auto"/>
        <w:ind w:right="350"/>
      </w:pPr>
    </w:p>
    <w:p w:rsidR="00B82359" w:rsidRDefault="00B82359" w:rsidP="00A92070">
      <w:pPr>
        <w:spacing w:line="398" w:lineRule="auto"/>
        <w:ind w:right="350"/>
      </w:pPr>
    </w:p>
    <w:p w:rsidR="00B82359" w:rsidRDefault="00B82359" w:rsidP="00A92070">
      <w:pPr>
        <w:spacing w:line="398" w:lineRule="auto"/>
        <w:ind w:right="350"/>
      </w:pPr>
    </w:p>
    <w:p w:rsidR="00B82359" w:rsidRDefault="00B82359" w:rsidP="00A92070">
      <w:pPr>
        <w:spacing w:line="398" w:lineRule="auto"/>
        <w:ind w:right="350"/>
      </w:pPr>
    </w:p>
    <w:p w:rsidR="00B82359" w:rsidRDefault="00B82359" w:rsidP="00A92070">
      <w:pPr>
        <w:spacing w:line="398" w:lineRule="auto"/>
        <w:ind w:right="350"/>
      </w:pPr>
    </w:p>
    <w:p w:rsidR="00B82359" w:rsidRDefault="00B82359" w:rsidP="00A92070">
      <w:pPr>
        <w:spacing w:line="398" w:lineRule="auto"/>
        <w:ind w:right="350"/>
      </w:pPr>
    </w:p>
    <w:p w:rsidR="00B82359" w:rsidRDefault="00B82359" w:rsidP="00A92070">
      <w:pPr>
        <w:spacing w:line="398" w:lineRule="auto"/>
        <w:ind w:right="350"/>
      </w:pPr>
    </w:p>
    <w:p w:rsidR="00B82359" w:rsidRDefault="00B82359" w:rsidP="00A92070">
      <w:pPr>
        <w:spacing w:line="398" w:lineRule="auto"/>
        <w:ind w:right="350"/>
      </w:pPr>
    </w:p>
    <w:p w:rsidR="00B82359" w:rsidRDefault="00B82359" w:rsidP="00A92070">
      <w:pPr>
        <w:spacing w:line="398" w:lineRule="auto"/>
        <w:ind w:right="350"/>
      </w:pPr>
    </w:p>
    <w:p w:rsidR="00B82359" w:rsidRDefault="00B82359" w:rsidP="00A92070">
      <w:pPr>
        <w:spacing w:line="398" w:lineRule="auto"/>
        <w:ind w:right="350"/>
      </w:pPr>
    </w:p>
    <w:p w:rsidR="00B82359" w:rsidRDefault="00B82359" w:rsidP="00A92070">
      <w:pPr>
        <w:spacing w:line="398" w:lineRule="auto"/>
        <w:ind w:right="350"/>
      </w:pPr>
    </w:p>
    <w:p w:rsidR="00B82359" w:rsidRDefault="00B82359" w:rsidP="00A92070">
      <w:pPr>
        <w:spacing w:line="398" w:lineRule="auto"/>
        <w:ind w:right="350"/>
      </w:pPr>
    </w:p>
    <w:p w:rsidR="00B82359" w:rsidRDefault="00B82359" w:rsidP="00A92070">
      <w:pPr>
        <w:spacing w:line="398" w:lineRule="auto"/>
        <w:ind w:right="350"/>
      </w:pPr>
    </w:p>
    <w:p w:rsidR="00B82359" w:rsidRDefault="00B82359" w:rsidP="00A92070">
      <w:pPr>
        <w:spacing w:line="398" w:lineRule="auto"/>
        <w:ind w:right="350"/>
      </w:pPr>
    </w:p>
    <w:p w:rsidR="00B82359" w:rsidRDefault="00B82359" w:rsidP="00A92070">
      <w:pPr>
        <w:spacing w:line="398" w:lineRule="auto"/>
        <w:ind w:right="350"/>
      </w:pPr>
    </w:p>
    <w:p w:rsidR="00B82359" w:rsidRDefault="00B82359" w:rsidP="00A92070">
      <w:pPr>
        <w:spacing w:line="398" w:lineRule="auto"/>
        <w:ind w:right="350"/>
      </w:pPr>
    </w:p>
    <w:p w:rsidR="00B82359" w:rsidRDefault="00B82359" w:rsidP="00A92070">
      <w:pPr>
        <w:spacing w:line="398" w:lineRule="auto"/>
        <w:ind w:right="350"/>
      </w:pPr>
    </w:p>
    <w:p w:rsidR="008A622B" w:rsidRDefault="006A1F2D" w:rsidP="00A92070">
      <w:pPr>
        <w:spacing w:line="398" w:lineRule="auto"/>
        <w:ind w:right="350"/>
      </w:pPr>
      <w:r>
        <w:t>19</w:t>
      </w:r>
      <w:r w:rsidR="00A92070">
        <w:t>.</w:t>
      </w:r>
      <w:r w:rsidR="006423CD">
        <w:t xml:space="preserve">Kwota i charakter poszczególnych pozycji przychodów lub kosztów o nadzwyczajnej wartości lub które wystąpiły incydentalnie </w:t>
      </w:r>
      <w:r w:rsidR="004030EE">
        <w:t>– nie wystą</w:t>
      </w:r>
      <w:r w:rsidR="00DC380D">
        <w:t>piły</w:t>
      </w:r>
    </w:p>
    <w:p w:rsidR="008A622B" w:rsidRDefault="006423CD">
      <w:pPr>
        <w:ind w:left="293" w:right="350"/>
      </w:pPr>
      <w:proofErr w:type="spellStart"/>
      <w:r>
        <w:t>abela</w:t>
      </w:r>
      <w:proofErr w:type="spellEnd"/>
      <w:r>
        <w:t xml:space="preserve"> 17. Przychody i Koszty o charakterze nadzwyczajnym i incydentalnym </w:t>
      </w:r>
      <w:r w:rsidR="00194CDD">
        <w:t>– nie wystąpiły</w:t>
      </w:r>
    </w:p>
    <w:p w:rsidR="006A1F2D" w:rsidRDefault="006A1F2D" w:rsidP="006A1F2D">
      <w:pPr>
        <w:ind w:right="350"/>
      </w:pPr>
    </w:p>
    <w:p w:rsidR="008A622B" w:rsidRDefault="006423CD" w:rsidP="00194CDD">
      <w:pPr>
        <w:spacing w:after="98"/>
        <w:ind w:left="0" w:firstLine="0"/>
        <w:jc w:val="left"/>
      </w:pPr>
      <w:r>
        <w:lastRenderedPageBreak/>
        <w:t xml:space="preserve">  </w:t>
      </w:r>
      <w:r w:rsidR="006A1F2D" w:rsidRPr="006A1F2D">
        <w:rPr>
          <w:noProof/>
        </w:rPr>
        <w:drawing>
          <wp:inline distT="0" distB="0" distL="0" distR="0">
            <wp:extent cx="6858000" cy="2795235"/>
            <wp:effectExtent l="0" t="0" r="0" b="5715"/>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858000" cy="2795235"/>
                    </a:xfrm>
                    <a:prstGeom prst="rect">
                      <a:avLst/>
                    </a:prstGeom>
                    <a:noFill/>
                    <a:ln>
                      <a:noFill/>
                    </a:ln>
                  </pic:spPr>
                </pic:pic>
              </a:graphicData>
            </a:graphic>
          </wp:inline>
        </w:drawing>
      </w:r>
    </w:p>
    <w:p w:rsidR="008A622B" w:rsidRDefault="006423CD">
      <w:pPr>
        <w:spacing w:after="0"/>
        <w:ind w:left="283" w:firstLine="0"/>
        <w:jc w:val="left"/>
      </w:pPr>
      <w:r>
        <w:t xml:space="preserve"> </w:t>
      </w:r>
    </w:p>
    <w:p w:rsidR="008A622B" w:rsidRDefault="006A1F2D" w:rsidP="00A92070">
      <w:pPr>
        <w:spacing w:line="399" w:lineRule="auto"/>
        <w:ind w:right="350"/>
      </w:pPr>
      <w:r>
        <w:t>20</w:t>
      </w:r>
      <w:r w:rsidR="00A92070">
        <w:t>.</w:t>
      </w:r>
      <w:r w:rsidR="006423CD">
        <w:t xml:space="preserve">Inne informacje niż wymienione powyżej, jeżeli mogłyby w istotny sposób wpłynąć na ocenę sytuacji majątkowej i finansowej oraz wynik finansowy jednostki </w:t>
      </w:r>
      <w:r w:rsidR="004030EE">
        <w:t>– nie występują</w:t>
      </w:r>
    </w:p>
    <w:p w:rsidR="008A622B" w:rsidRDefault="006423CD">
      <w:pPr>
        <w:spacing w:after="98"/>
        <w:ind w:left="720" w:firstLine="0"/>
        <w:jc w:val="left"/>
      </w:pPr>
      <w:r>
        <w:t xml:space="preserve"> </w:t>
      </w:r>
    </w:p>
    <w:p w:rsidR="008A622B" w:rsidRDefault="006423CD">
      <w:pPr>
        <w:spacing w:after="96"/>
        <w:ind w:left="720" w:firstLine="0"/>
        <w:jc w:val="left"/>
      </w:pPr>
      <w:r>
        <w:t xml:space="preserve"> </w:t>
      </w:r>
    </w:p>
    <w:p w:rsidR="008A622B" w:rsidRDefault="006423CD">
      <w:pPr>
        <w:ind w:left="293" w:right="350"/>
      </w:pPr>
      <w:r>
        <w:t xml:space="preserve">Tabela 18. Inne istotne informacje mające wpływ na sytuację majątkową, finansową oraz wynik finansowy </w:t>
      </w:r>
      <w:r w:rsidR="00194CDD">
        <w:t>–nie wystąpiły.</w:t>
      </w:r>
    </w:p>
    <w:p w:rsidR="006423CD" w:rsidRDefault="006A1F2D">
      <w:r w:rsidRPr="006A1F2D">
        <w:rPr>
          <w:noProof/>
        </w:rPr>
        <w:drawing>
          <wp:inline distT="0" distB="0" distL="0" distR="0">
            <wp:extent cx="6858000" cy="2288437"/>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858000" cy="2288437"/>
                    </a:xfrm>
                    <a:prstGeom prst="rect">
                      <a:avLst/>
                    </a:prstGeom>
                    <a:noFill/>
                    <a:ln>
                      <a:noFill/>
                    </a:ln>
                  </pic:spPr>
                </pic:pic>
              </a:graphicData>
            </a:graphic>
          </wp:inline>
        </w:drawing>
      </w:r>
    </w:p>
    <w:sectPr w:rsidR="006423CD" w:rsidSect="00A74A02">
      <w:footerReference w:type="even" r:id="rId26"/>
      <w:footerReference w:type="default" r:id="rId27"/>
      <w:footerReference w:type="first" r:id="rId28"/>
      <w:pgSz w:w="12240" w:h="15840" w:code="1"/>
      <w:pgMar w:top="720" w:right="720" w:bottom="720" w:left="720"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28D" w:rsidRDefault="0070328D">
      <w:pPr>
        <w:spacing w:after="0" w:line="240" w:lineRule="auto"/>
      </w:pPr>
      <w:r>
        <w:separator/>
      </w:r>
    </w:p>
  </w:endnote>
  <w:endnote w:type="continuationSeparator" w:id="0">
    <w:p w:rsidR="0070328D" w:rsidRDefault="00703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6AB" w:rsidRDefault="00FC26AB">
    <w:pPr>
      <w:spacing w:after="103"/>
      <w:ind w:left="0" w:right="359" w:firstLine="0"/>
      <w:jc w:val="right"/>
    </w:pPr>
    <w:r>
      <w:fldChar w:fldCharType="begin"/>
    </w:r>
    <w:r>
      <w:instrText xml:space="preserve"> PAGE   \* MERGEFORMAT </w:instrText>
    </w:r>
    <w:r>
      <w:fldChar w:fldCharType="separate"/>
    </w:r>
    <w:r>
      <w:rPr>
        <w:sz w:val="18"/>
      </w:rPr>
      <w:t>2</w:t>
    </w:r>
    <w:r>
      <w:rPr>
        <w:sz w:val="18"/>
      </w:rPr>
      <w:fldChar w:fldCharType="end"/>
    </w:r>
    <w:r>
      <w:rPr>
        <w:sz w:val="18"/>
      </w:rPr>
      <w:t xml:space="preserve"> </w:t>
    </w:r>
  </w:p>
  <w:p w:rsidR="00FC26AB" w:rsidRDefault="00FC26AB">
    <w:pPr>
      <w:spacing w:after="0"/>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6AB" w:rsidRDefault="00FC26AB">
    <w:pPr>
      <w:spacing w:after="103"/>
      <w:ind w:left="0" w:right="359" w:firstLine="0"/>
      <w:jc w:val="right"/>
    </w:pPr>
    <w:r>
      <w:fldChar w:fldCharType="begin"/>
    </w:r>
    <w:r>
      <w:instrText xml:space="preserve"> PAGE   \* MERGEFORMAT </w:instrText>
    </w:r>
    <w:r>
      <w:fldChar w:fldCharType="separate"/>
    </w:r>
    <w:r w:rsidR="00F02914" w:rsidRPr="00F02914">
      <w:rPr>
        <w:noProof/>
        <w:sz w:val="18"/>
      </w:rPr>
      <w:t>16</w:t>
    </w:r>
    <w:r>
      <w:rPr>
        <w:sz w:val="18"/>
      </w:rPr>
      <w:fldChar w:fldCharType="end"/>
    </w:r>
    <w:r>
      <w:rPr>
        <w:sz w:val="18"/>
      </w:rPr>
      <w:t xml:space="preserve"> </w:t>
    </w:r>
  </w:p>
  <w:p w:rsidR="00FC26AB" w:rsidRDefault="00FC26AB">
    <w:pPr>
      <w:spacing w:after="0"/>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6AB" w:rsidRDefault="00FC26AB">
    <w:pPr>
      <w:spacing w:after="160"/>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28D" w:rsidRDefault="0070328D">
      <w:pPr>
        <w:spacing w:after="0" w:line="240" w:lineRule="auto"/>
      </w:pPr>
      <w:r>
        <w:separator/>
      </w:r>
    </w:p>
  </w:footnote>
  <w:footnote w:type="continuationSeparator" w:id="0">
    <w:p w:rsidR="0070328D" w:rsidRDefault="007032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0FC5"/>
    <w:multiLevelType w:val="hybridMultilevel"/>
    <w:tmpl w:val="C12C3434"/>
    <w:lvl w:ilvl="0" w:tplc="9BD24D24">
      <w:start w:val="1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B2404B6"/>
    <w:multiLevelType w:val="hybridMultilevel"/>
    <w:tmpl w:val="AB708D1A"/>
    <w:lvl w:ilvl="0" w:tplc="A53096F4">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 w15:restartNumberingAfterBreak="0">
    <w:nsid w:val="11FE5EF3"/>
    <w:multiLevelType w:val="hybridMultilevel"/>
    <w:tmpl w:val="99A86200"/>
    <w:lvl w:ilvl="0" w:tplc="1F566EFA">
      <w:start w:val="1"/>
      <w:numFmt w:val="decimal"/>
      <w:lvlText w:val="%1."/>
      <w:lvlJc w:val="left"/>
      <w:pPr>
        <w:ind w:left="7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4B822C6">
      <w:start w:val="1"/>
      <w:numFmt w:val="lowerLetter"/>
      <w:lvlText w:val="%2"/>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DA041EA">
      <w:start w:val="1"/>
      <w:numFmt w:val="lowerRoman"/>
      <w:lvlText w:val="%3"/>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0009D3E">
      <w:start w:val="1"/>
      <w:numFmt w:val="decimal"/>
      <w:lvlText w:val="%4"/>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F4CDD06">
      <w:start w:val="1"/>
      <w:numFmt w:val="lowerLetter"/>
      <w:lvlText w:val="%5"/>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710185A">
      <w:start w:val="1"/>
      <w:numFmt w:val="lowerRoman"/>
      <w:lvlText w:val="%6"/>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97651F6">
      <w:start w:val="1"/>
      <w:numFmt w:val="decimal"/>
      <w:lvlText w:val="%7"/>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4AEA57C">
      <w:start w:val="1"/>
      <w:numFmt w:val="lowerLetter"/>
      <w:lvlText w:val="%8"/>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59EC6A8">
      <w:start w:val="1"/>
      <w:numFmt w:val="lowerRoman"/>
      <w:lvlText w:val="%9"/>
      <w:lvlJc w:val="left"/>
      <w:pPr>
        <w:ind w:left="64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2382079"/>
    <w:multiLevelType w:val="hybridMultilevel"/>
    <w:tmpl w:val="0BAE92C2"/>
    <w:lvl w:ilvl="0" w:tplc="814EF764">
      <w:start w:val="1"/>
      <w:numFmt w:val="bullet"/>
      <w:lvlText w:val="-"/>
      <w:lvlJc w:val="left"/>
      <w:pPr>
        <w:ind w:left="4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1BCEC50">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28EEC4">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E68E73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4143A0C">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D7EA64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A3AF35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B80176">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52868AC">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36B3DB9"/>
    <w:multiLevelType w:val="hybridMultilevel"/>
    <w:tmpl w:val="5B98563C"/>
    <w:lvl w:ilvl="0" w:tplc="C6D6AD8C">
      <w:start w:val="1"/>
      <w:numFmt w:val="decimal"/>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841464">
      <w:start w:val="1"/>
      <w:numFmt w:val="bullet"/>
      <w:lvlText w:val="-"/>
      <w:lvlJc w:val="left"/>
      <w:pPr>
        <w:ind w:left="8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D32A886">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42B19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802C34">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C20355E">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4C0066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325356">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A606BF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8AB4467"/>
    <w:multiLevelType w:val="hybridMultilevel"/>
    <w:tmpl w:val="C906A60A"/>
    <w:lvl w:ilvl="0" w:tplc="3EE2EBA6">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 w15:restartNumberingAfterBreak="0">
    <w:nsid w:val="39E970CC"/>
    <w:multiLevelType w:val="hybridMultilevel"/>
    <w:tmpl w:val="23C0CC3E"/>
    <w:lvl w:ilvl="0" w:tplc="E83256A4">
      <w:start w:val="1"/>
      <w:numFmt w:val="upperRoman"/>
      <w:pStyle w:val="Nagwek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6866D96">
      <w:start w:val="1"/>
      <w:numFmt w:val="lowerLetter"/>
      <w:lvlText w:val="%2"/>
      <w:lvlJc w:val="left"/>
      <w:pPr>
        <w:ind w:left="37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E1463FA">
      <w:start w:val="1"/>
      <w:numFmt w:val="lowerRoman"/>
      <w:lvlText w:val="%3"/>
      <w:lvlJc w:val="left"/>
      <w:pPr>
        <w:ind w:left="44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8F2509A">
      <w:start w:val="1"/>
      <w:numFmt w:val="decimal"/>
      <w:lvlText w:val="%4"/>
      <w:lvlJc w:val="left"/>
      <w:pPr>
        <w:ind w:left="51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C4827AC">
      <w:start w:val="1"/>
      <w:numFmt w:val="lowerLetter"/>
      <w:lvlText w:val="%5"/>
      <w:lvlJc w:val="left"/>
      <w:pPr>
        <w:ind w:left="58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262C364">
      <w:start w:val="1"/>
      <w:numFmt w:val="lowerRoman"/>
      <w:lvlText w:val="%6"/>
      <w:lvlJc w:val="left"/>
      <w:pPr>
        <w:ind w:left="65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6186BEE">
      <w:start w:val="1"/>
      <w:numFmt w:val="decimal"/>
      <w:lvlText w:val="%7"/>
      <w:lvlJc w:val="left"/>
      <w:pPr>
        <w:ind w:left="73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B7E9D00">
      <w:start w:val="1"/>
      <w:numFmt w:val="lowerLetter"/>
      <w:lvlText w:val="%8"/>
      <w:lvlJc w:val="left"/>
      <w:pPr>
        <w:ind w:left="80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DA6B5C0">
      <w:start w:val="1"/>
      <w:numFmt w:val="lowerRoman"/>
      <w:lvlText w:val="%9"/>
      <w:lvlJc w:val="left"/>
      <w:pPr>
        <w:ind w:left="87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FF86FBB"/>
    <w:multiLevelType w:val="hybridMultilevel"/>
    <w:tmpl w:val="51D82784"/>
    <w:lvl w:ilvl="0" w:tplc="381C15CE">
      <w:start w:val="1"/>
      <w:numFmt w:val="bullet"/>
      <w:lvlText w:val="-"/>
      <w:lvlJc w:val="left"/>
      <w:pPr>
        <w:ind w:left="2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8A35F2">
      <w:start w:val="1"/>
      <w:numFmt w:val="bullet"/>
      <w:lvlText w:val="o"/>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B3C4020">
      <w:start w:val="1"/>
      <w:numFmt w:val="bullet"/>
      <w:lvlText w:val="▪"/>
      <w:lvlJc w:val="left"/>
      <w:pPr>
        <w:ind w:left="1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8548DF4">
      <w:start w:val="1"/>
      <w:numFmt w:val="bullet"/>
      <w:lvlText w:val="•"/>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427B50">
      <w:start w:val="1"/>
      <w:numFmt w:val="bullet"/>
      <w:lvlText w:val="o"/>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89A1D00">
      <w:start w:val="1"/>
      <w:numFmt w:val="bullet"/>
      <w:lvlText w:val="▪"/>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0AA44AA">
      <w:start w:val="1"/>
      <w:numFmt w:val="bullet"/>
      <w:lvlText w:val="•"/>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D8ED70">
      <w:start w:val="1"/>
      <w:numFmt w:val="bullet"/>
      <w:lvlText w:val="o"/>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610C7EC">
      <w:start w:val="1"/>
      <w:numFmt w:val="bullet"/>
      <w:lvlText w:val="▪"/>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2A17682"/>
    <w:multiLevelType w:val="hybridMultilevel"/>
    <w:tmpl w:val="794CEB3E"/>
    <w:lvl w:ilvl="0" w:tplc="70B2C576">
      <w:start w:val="1"/>
      <w:numFmt w:val="decimal"/>
      <w:lvlText w:val="%1."/>
      <w:lvlJc w:val="left"/>
      <w:pPr>
        <w:ind w:left="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9A8C7C2">
      <w:start w:val="1"/>
      <w:numFmt w:val="bullet"/>
      <w:lvlText w:val="-"/>
      <w:lvlJc w:val="left"/>
      <w:pPr>
        <w:ind w:left="82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17E63EA0">
      <w:start w:val="1"/>
      <w:numFmt w:val="bullet"/>
      <w:lvlText w:val="▪"/>
      <w:lvlJc w:val="left"/>
      <w:pPr>
        <w:ind w:left="17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09EE5014">
      <w:start w:val="1"/>
      <w:numFmt w:val="bullet"/>
      <w:lvlText w:val="•"/>
      <w:lvlJc w:val="left"/>
      <w:pPr>
        <w:ind w:left="25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8F982FBA">
      <w:start w:val="1"/>
      <w:numFmt w:val="bullet"/>
      <w:lvlText w:val="o"/>
      <w:lvlJc w:val="left"/>
      <w:pPr>
        <w:ind w:left="32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6C2C76BE">
      <w:start w:val="1"/>
      <w:numFmt w:val="bullet"/>
      <w:lvlText w:val="▪"/>
      <w:lvlJc w:val="left"/>
      <w:pPr>
        <w:ind w:left="39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C25CEE4E">
      <w:start w:val="1"/>
      <w:numFmt w:val="bullet"/>
      <w:lvlText w:val="•"/>
      <w:lvlJc w:val="left"/>
      <w:pPr>
        <w:ind w:left="46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F064B750">
      <w:start w:val="1"/>
      <w:numFmt w:val="bullet"/>
      <w:lvlText w:val="o"/>
      <w:lvlJc w:val="left"/>
      <w:pPr>
        <w:ind w:left="53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1BD64D12">
      <w:start w:val="1"/>
      <w:numFmt w:val="bullet"/>
      <w:lvlText w:val="▪"/>
      <w:lvlJc w:val="left"/>
      <w:pPr>
        <w:ind w:left="61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num w:numId="1">
    <w:abstractNumId w:val="8"/>
  </w:num>
  <w:num w:numId="2">
    <w:abstractNumId w:val="3"/>
  </w:num>
  <w:num w:numId="3">
    <w:abstractNumId w:val="2"/>
  </w:num>
  <w:num w:numId="4">
    <w:abstractNumId w:val="7"/>
  </w:num>
  <w:num w:numId="5">
    <w:abstractNumId w:val="4"/>
  </w:num>
  <w:num w:numId="6">
    <w:abstractNumId w:val="6"/>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22B"/>
    <w:rsid w:val="00041A21"/>
    <w:rsid w:val="000A091B"/>
    <w:rsid w:val="00111C7E"/>
    <w:rsid w:val="00121339"/>
    <w:rsid w:val="00164E3B"/>
    <w:rsid w:val="00166299"/>
    <w:rsid w:val="00194CDD"/>
    <w:rsid w:val="0019673B"/>
    <w:rsid w:val="0021159E"/>
    <w:rsid w:val="00211CEA"/>
    <w:rsid w:val="0030773B"/>
    <w:rsid w:val="00326E4C"/>
    <w:rsid w:val="00373FAD"/>
    <w:rsid w:val="00387E50"/>
    <w:rsid w:val="003C24AB"/>
    <w:rsid w:val="003D3FBE"/>
    <w:rsid w:val="003F1DA1"/>
    <w:rsid w:val="004030EE"/>
    <w:rsid w:val="00450DF2"/>
    <w:rsid w:val="004E2A3C"/>
    <w:rsid w:val="00504FE2"/>
    <w:rsid w:val="0053244F"/>
    <w:rsid w:val="005D3241"/>
    <w:rsid w:val="005E7D07"/>
    <w:rsid w:val="006423CD"/>
    <w:rsid w:val="00642666"/>
    <w:rsid w:val="0066759B"/>
    <w:rsid w:val="006A1F2D"/>
    <w:rsid w:val="006C3454"/>
    <w:rsid w:val="006D74CF"/>
    <w:rsid w:val="0070328D"/>
    <w:rsid w:val="007213B5"/>
    <w:rsid w:val="008A622B"/>
    <w:rsid w:val="009613CA"/>
    <w:rsid w:val="00985FA5"/>
    <w:rsid w:val="009C5BB8"/>
    <w:rsid w:val="009E4A30"/>
    <w:rsid w:val="00A05B72"/>
    <w:rsid w:val="00A71204"/>
    <w:rsid w:val="00A74A02"/>
    <w:rsid w:val="00A77F4B"/>
    <w:rsid w:val="00A92070"/>
    <w:rsid w:val="00A96BEA"/>
    <w:rsid w:val="00AB2077"/>
    <w:rsid w:val="00AC453A"/>
    <w:rsid w:val="00AD077A"/>
    <w:rsid w:val="00B536BD"/>
    <w:rsid w:val="00B82359"/>
    <w:rsid w:val="00B82A64"/>
    <w:rsid w:val="00B93AB4"/>
    <w:rsid w:val="00BD5A55"/>
    <w:rsid w:val="00BE06DE"/>
    <w:rsid w:val="00C348BC"/>
    <w:rsid w:val="00C6298D"/>
    <w:rsid w:val="00CA4E3C"/>
    <w:rsid w:val="00CC6824"/>
    <w:rsid w:val="00CE3B6F"/>
    <w:rsid w:val="00CF0117"/>
    <w:rsid w:val="00D02128"/>
    <w:rsid w:val="00D5111C"/>
    <w:rsid w:val="00D9295C"/>
    <w:rsid w:val="00DC380D"/>
    <w:rsid w:val="00DC4903"/>
    <w:rsid w:val="00E14DFB"/>
    <w:rsid w:val="00E77C2A"/>
    <w:rsid w:val="00EA1BD7"/>
    <w:rsid w:val="00F02914"/>
    <w:rsid w:val="00F0360C"/>
    <w:rsid w:val="00F808ED"/>
    <w:rsid w:val="00FC26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4F075"/>
  <w15:docId w15:val="{68F3EC85-4123-4FD6-A1F8-9DFAAE878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3"/>
      <w:ind w:left="10" w:hanging="10"/>
      <w:jc w:val="both"/>
    </w:pPr>
    <w:rPr>
      <w:rFonts w:ascii="Arial" w:eastAsia="Arial" w:hAnsi="Arial" w:cs="Arial"/>
      <w:color w:val="000000"/>
      <w:sz w:val="20"/>
    </w:rPr>
  </w:style>
  <w:style w:type="paragraph" w:styleId="Nagwek1">
    <w:name w:val="heading 1"/>
    <w:next w:val="Normalny"/>
    <w:link w:val="Nagwek1Znak"/>
    <w:uiPriority w:val="9"/>
    <w:unhideWhenUsed/>
    <w:qFormat/>
    <w:pPr>
      <w:keepNext/>
      <w:keepLines/>
      <w:numPr>
        <w:numId w:val="6"/>
      </w:numPr>
      <w:spacing w:after="77"/>
      <w:ind w:left="10" w:right="3" w:hanging="10"/>
      <w:jc w:val="center"/>
      <w:outlineLvl w:val="0"/>
    </w:pPr>
    <w:rPr>
      <w:rFonts w:ascii="Arial" w:eastAsia="Arial" w:hAnsi="Arial" w:cs="Arial"/>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przypisudolnego">
    <w:name w:val="footnote text"/>
    <w:basedOn w:val="Normalny"/>
    <w:link w:val="TekstprzypisudolnegoZnak"/>
    <w:uiPriority w:val="99"/>
    <w:semiHidden/>
    <w:unhideWhenUsed/>
    <w:rsid w:val="00CF0117"/>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CF0117"/>
    <w:rPr>
      <w:rFonts w:ascii="Arial" w:eastAsia="Arial" w:hAnsi="Arial" w:cs="Arial"/>
      <w:color w:val="000000"/>
      <w:sz w:val="20"/>
      <w:szCs w:val="20"/>
    </w:rPr>
  </w:style>
  <w:style w:type="character" w:styleId="Odwoanieprzypisudolnego">
    <w:name w:val="footnote reference"/>
    <w:basedOn w:val="Domylnaczcionkaakapitu"/>
    <w:uiPriority w:val="99"/>
    <w:semiHidden/>
    <w:unhideWhenUsed/>
    <w:rsid w:val="00CF0117"/>
    <w:rPr>
      <w:vertAlign w:val="superscript"/>
    </w:rPr>
  </w:style>
  <w:style w:type="paragraph" w:styleId="Tekstdymka">
    <w:name w:val="Balloon Text"/>
    <w:basedOn w:val="Normalny"/>
    <w:link w:val="TekstdymkaZnak"/>
    <w:uiPriority w:val="99"/>
    <w:semiHidden/>
    <w:unhideWhenUsed/>
    <w:rsid w:val="00373FA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3FAD"/>
    <w:rPr>
      <w:rFonts w:ascii="Segoe UI" w:eastAsia="Arial" w:hAnsi="Segoe UI" w:cs="Segoe UI"/>
      <w:color w:val="000000"/>
      <w:sz w:val="18"/>
      <w:szCs w:val="18"/>
    </w:rPr>
  </w:style>
  <w:style w:type="paragraph" w:styleId="Akapitzlist">
    <w:name w:val="List Paragraph"/>
    <w:basedOn w:val="Normalny"/>
    <w:uiPriority w:val="34"/>
    <w:qFormat/>
    <w:rsid w:val="00EA1B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295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footer" Target="footer3.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9130C-1325-4EEB-9CDF-B539EF8D8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Pages>
  <Words>1502</Words>
  <Characters>9017</Characters>
  <Application>Microsoft Office Word</Application>
  <DocSecurity>0</DocSecurity>
  <Lines>75</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Miasta Zielona Góra</dc:creator>
  <cp:keywords/>
  <cp:lastModifiedBy>Użytkownik systemu Windows</cp:lastModifiedBy>
  <cp:revision>41</cp:revision>
  <cp:lastPrinted>2019-03-27T10:42:00Z</cp:lastPrinted>
  <dcterms:created xsi:type="dcterms:W3CDTF">2019-01-31T17:21:00Z</dcterms:created>
  <dcterms:modified xsi:type="dcterms:W3CDTF">2019-03-27T12:12:00Z</dcterms:modified>
</cp:coreProperties>
</file>